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53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Arial" w:hAnsi="Arial" w:eastAsia="Arial"/>
                <w:sz w:val="104"/>
              </w:rPr>
              <w:t>Эффект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Times New Roman" w:hAnsi="Times New Roman" w:eastAsia="Times New Roman"/>
                <w:b/>
                <w:sz w:val="16"/>
              </w:rPr>
              <w:t>Акционерное общество</w:t>
            </w:r>
            <w:r>
              <w:br/>
            </w:r>
            <w:r>
              <w:rPr>
                <w:rFonts w:ascii="Times New Roman" w:hAnsi="Times New Roman" w:eastAsia="Times New Roman"/>
                <w:b/>
                <w:sz w:val="16"/>
              </w:rPr>
              <w:t>проектная компания «Эффект»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6"/>
              </w:rPr>
              <w:t>ИНН 9701256261 КПП 770101001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6"/>
              </w:rPr>
              <w:t>101000, г. Москва, муниципальный округ Басманный,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6"/>
              </w:rPr>
              <w:t>б-р Чистопрудный, д.13, стр.1, помещ.1/1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6"/>
              </w:rPr>
              <w:t>тел./факс: +7(3952)500-171, e-mail: info@pk-effect.ru</w:t>
            </w:r>
          </w:p>
        </w:tc>
      </w:tr>
    </w:tbl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Предварительный расчет нагрузок на ливневую канализацию.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Объект: "{{objectName}}"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Расчётный расход с кровли зданий определён в соответствии с п.21.10 СП 30.13330.2020, и составляет: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Q = F×q5/10000 = {{roofAreaM2}} × {{q5}}/10000 = {{roofFlow}} л/с, q5 = 4^n × q20 = 4^{{n}} × {{q20}} = {{q5}} л/с, с 1 га,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где q20 = {{q20}} л/с, с 1 га (согласно СП 32.13330.2018),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n = {{n}}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F – площадь кровли (общая), {{roofAreaM2}} м2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Fтв.покр = {{hardAreaHa}} га, F газона = {{lawnAreaHa}} га, Fобщ = {{totalAreaHa}} га.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Среднегодовой объём дождевых Wд и талых вод Wт определяется по формулам: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Wд = 10*hд*Ψд*F = 10*{{hd}}*{{psiAnnual}}*{{totalAreaHa}} = {{annualRainVolume}} м3/год;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Wт = 10*hт*Ψт*Ку*F = 10*{{ht}}*{{psiMelt}}*{{ky}}*{{totalAreaHa}} = {{annualMeltVolume}} м3/год;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hд – слой осадков, мм, за теплый период года, {{hd}} мм (определяется по табл. 4.1 СП 131.13330.2020 «Строительная климатология»);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hт - слой осадков, мм, за холодный период года (общее годовое количество талых вод), {{ht}} мм (определяется по табл. 3.1 СП 131.13330.2020 «Строительная климатология»);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Ψд и Ψт – общий коэффициент стока дождевых и талых вод соответственно.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Величина Ψд определена как средневзвешенная величина для всей площади стока: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Ψд = {{psiAnnualExpression}} = {{psiAnnual}}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Величина коэффициента стока талых вод Ψт принята равной {{psiMelt}}.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Средний годовой объём Wг поверхностных сточных вод с площадки проектируемого объекта составит: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Wг = Wд + Wт = {{annualTotalNoWashVolume}} м3/год.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Wд.сут. = 10 ha F Ψmid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Zmid = {{zmidExpression}} = {{zmid}}; Ψmid = {{psimidExpression}} = {{psimid}}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Максимальный суточный объем дождевых вод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Wд.сут. = {{dailyRainVolume}} м3/сут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Ку = {{ky}}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Максимальный суточный объем талых вод Wт.сут, м3,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Wт.сут = 10 Ψт Ку F hc = {{dailyMeltVolume}} м3/сут.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Расходы воды в коллекторах дождевой канализации, Qr, л/с, отводящих сточные воды с селитебных территорий определяется методом предельных интенсивностей: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Qr = Zmid · A · F / tr^(1,2n−0,1)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Qr = {{zmid}} · {{parameterA}} · {{rainFlowAreaHa}} / {{tr}}^{{flowExponent}} = {{qr}} л/с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A = q20 · 20^n · (1 + lgP / lgmr)^γ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A = {{q20}} · 20^{{n}} · (1 + lg{{p}} / lg{{mr}})^{{gamma}} = {{parameterA}}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tr = tcon + tcan + tp = {{tcon}} + {{tcan}} + {{tp}} = {{tr}} мин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При гидравлическом расчёте дождевых сетей расчётные расходы дождевых вод, Qcal, л/с, определяются с учётом возникновения напорного режима: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Qcal = β · Qr = {{qcal}} л/с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02"/>
        <w:gridCol w:w="3702"/>
        <w:gridCol w:w="3702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24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Инженер ВК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24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Иванов И.И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240"/>
              <w:jc w:val="right"/>
            </w:pPr>
            <w:r>
              <w:rPr>
                <w:rFonts w:ascii="Times New Roman" w:hAnsi="Times New Roman" w:eastAsia="Times New Roman"/>
                <w:b/>
                <w:sz w:val="24"/>
              </w:rPr>
              <w:t>00.00.2000 г.</w:t>
            </w:r>
          </w:p>
        </w:tc>
      </w:tr>
    </w:tbl>
    <w:sectPr w:rsidR="00FC693F" w:rsidRPr="0006063C" w:rsidSect="00034616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