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ind w:firstLine="720"/>
        <w:rPr/>
      </w:pPr>
      <w:r w:rsidDel="00000000" w:rsidR="00000000" w:rsidRPr="00000000">
        <w:rPr>
          <w:rtl w:val="0"/>
        </w:rPr>
        <w:t xml:space="preserve">To manipulate the peripheral using the AXI protocol, it was integrated to internally contain the minimum necessary registers for peripheral control and two ports that will connect with the outside world, as shown in figure 1.</w:t>
      </w:r>
    </w:p>
    <w:p w:rsidR="00000000" w:rsidDel="00000000" w:rsidP="00000000" w:rsidRDefault="00000000" w:rsidRPr="00000000" w14:paraId="00000002">
      <w:pPr>
        <w:rPr/>
      </w:pPr>
      <w:r w:rsidDel="00000000" w:rsidR="00000000" w:rsidRPr="00000000">
        <w:rPr/>
        <w:drawing>
          <wp:inline distB="114300" distT="114300" distL="114300" distR="114300">
            <wp:extent cx="5731200" cy="2311400"/>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i w:val="1"/>
          <w:color w:val="999999"/>
        </w:rPr>
      </w:pPr>
      <w:r w:rsidDel="00000000" w:rsidR="00000000" w:rsidRPr="00000000">
        <w:rPr>
          <w:i w:val="1"/>
          <w:color w:val="999999"/>
          <w:rtl w:val="0"/>
        </w:rPr>
        <w:t xml:space="preserve">Figure 1 - UART with AXI4Lite Interface 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In the construction of the IP module, two registers were defined: a read-only register at address 0x0 and a read-write register at address 0x4. </w:t>
      </w:r>
    </w:p>
    <w:p w:rsidR="00000000" w:rsidDel="00000000" w:rsidP="00000000" w:rsidRDefault="00000000" w:rsidRPr="00000000" w14:paraId="00000006">
      <w:pPr>
        <w:ind w:firstLine="720"/>
        <w:rPr/>
      </w:pPr>
      <w:r w:rsidDel="00000000" w:rsidR="00000000" w:rsidRPr="00000000">
        <w:rPr>
          <w:rtl w:val="0"/>
        </w:rPr>
        <w:t xml:space="preserve">In the first mentioned register, the bits for the content of the receive FIFO (Rx) are contained, along with bits indicating when transmission on the tx_bit and reception on the rx_bit end. On the other hand, in the write register, the input value for the baud rate generator, the content of the transmit FIFO (Tx), and the control bits to turn on and off the UART for both transmission (Tx) and reception (Rx) are contained. Figure 2 depicts the organization for each.</w:t>
      </w:r>
    </w:p>
    <w:p w:rsidR="00000000" w:rsidDel="00000000" w:rsidP="00000000" w:rsidRDefault="00000000" w:rsidRPr="00000000" w14:paraId="00000007">
      <w:pPr>
        <w:rPr/>
      </w:pPr>
      <w:r w:rsidDel="00000000" w:rsidR="00000000" w:rsidRPr="00000000">
        <w:rPr/>
        <w:drawing>
          <wp:inline distB="114300" distT="114300" distL="114300" distR="114300">
            <wp:extent cx="5731200" cy="2273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i w:val="1"/>
          <w:color w:val="999999"/>
          <w:rtl w:val="0"/>
        </w:rPr>
        <w:t xml:space="preserve">Figure 2 - IP slave registers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t xml:space="preserve">For this module, an interface was also created to be used by the master, containing three different processes: baud rate configuration, reading the Rx FIFO buffer, and transmission through the tx port.</w:t>
      </w:r>
    </w:p>
    <w:p w:rsidR="00000000" w:rsidDel="00000000" w:rsidP="00000000" w:rsidRDefault="00000000" w:rsidRPr="00000000" w14:paraId="0000000B">
      <w:pPr>
        <w:jc w:val="center"/>
        <w:rPr/>
      </w:pPr>
      <w:r w:rsidDel="00000000" w:rsidR="00000000" w:rsidRPr="00000000">
        <w:rPr/>
        <w:drawing>
          <wp:inline distB="114300" distT="114300" distL="114300" distR="114300">
            <wp:extent cx="4601901" cy="2690813"/>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01901" cy="269081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i w:val="1"/>
          <w:color w:val="999999"/>
        </w:rPr>
      </w:pPr>
      <w:r w:rsidDel="00000000" w:rsidR="00000000" w:rsidRPr="00000000">
        <w:rPr>
          <w:i w:val="1"/>
          <w:color w:val="999999"/>
          <w:rtl w:val="0"/>
        </w:rPr>
        <w:t xml:space="preserve">Figure 3 - Baudrrate configuration process</w:t>
      </w:r>
    </w:p>
    <w:p w:rsidR="00000000" w:rsidDel="00000000" w:rsidP="00000000" w:rsidRDefault="00000000" w:rsidRPr="00000000" w14:paraId="0000000D">
      <w:pPr>
        <w:rPr>
          <w:i w:val="1"/>
          <w:color w:val="999999"/>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drawing>
          <wp:inline distB="114300" distT="114300" distL="114300" distR="114300">
            <wp:extent cx="4713450" cy="1258136"/>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13450" cy="1258136"/>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i w:val="1"/>
          <w:color w:val="999999"/>
        </w:rPr>
      </w:pPr>
      <w:r w:rsidDel="00000000" w:rsidR="00000000" w:rsidRPr="00000000">
        <w:rPr>
          <w:i w:val="1"/>
          <w:color w:val="999999"/>
          <w:rtl w:val="0"/>
        </w:rPr>
        <w:t xml:space="preserve">Figure 4 - Read Rx FIFO process</w:t>
      </w:r>
    </w:p>
    <w:p w:rsidR="00000000" w:rsidDel="00000000" w:rsidP="00000000" w:rsidRDefault="00000000" w:rsidRPr="00000000" w14:paraId="00000010">
      <w:pPr>
        <w:rPr>
          <w:i w:val="1"/>
          <w:color w:val="999999"/>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drawing>
          <wp:inline distB="114300" distT="114300" distL="114300" distR="114300">
            <wp:extent cx="4622963" cy="321089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622963" cy="321089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i w:val="1"/>
          <w:color w:val="999999"/>
        </w:rPr>
      </w:pPr>
      <w:r w:rsidDel="00000000" w:rsidR="00000000" w:rsidRPr="00000000">
        <w:rPr>
          <w:i w:val="1"/>
          <w:color w:val="999999"/>
          <w:rtl w:val="0"/>
        </w:rPr>
        <w:t xml:space="preserve">Figure 5 - Tx Port Transmition process</w:t>
      </w:r>
    </w:p>
    <w:p w:rsidR="00000000" w:rsidDel="00000000" w:rsidP="00000000" w:rsidRDefault="00000000" w:rsidRPr="00000000" w14:paraId="00000013">
      <w:pPr>
        <w:rPr>
          <w:i w:val="1"/>
          <w:color w:val="999999"/>
        </w:rPr>
      </w:pPr>
      <w:r w:rsidDel="00000000" w:rsidR="00000000" w:rsidRPr="00000000">
        <w:rPr>
          <w:rtl w:val="0"/>
        </w:rPr>
      </w:r>
    </w:p>
    <w:p w:rsidR="00000000" w:rsidDel="00000000" w:rsidP="00000000" w:rsidRDefault="00000000" w:rsidRPr="00000000" w14:paraId="00000014">
      <w:pPr>
        <w:rPr>
          <w:i w:val="1"/>
          <w:color w:val="999999"/>
        </w:rPr>
      </w:pPr>
      <w:r w:rsidDel="00000000" w:rsidR="00000000" w:rsidRPr="00000000">
        <w:rPr>
          <w:rtl w:val="0"/>
        </w:rPr>
      </w:r>
    </w:p>
    <w:p w:rsidR="00000000" w:rsidDel="00000000" w:rsidP="00000000" w:rsidRDefault="00000000" w:rsidRPr="00000000" w14:paraId="00000015">
      <w:pPr>
        <w:rPr/>
      </w:pPr>
      <w:r w:rsidDel="00000000" w:rsidR="00000000" w:rsidRPr="00000000">
        <w:rPr>
          <w:color w:val="999999"/>
          <w:rtl w:val="0"/>
        </w:rPr>
        <w:tab/>
      </w:r>
      <w:r w:rsidDel="00000000" w:rsidR="00000000" w:rsidRPr="00000000">
        <w:rPr>
          <w:rtl w:val="0"/>
        </w:rPr>
        <w:t xml:space="preserve">Several simulations were conducted to validate and conclude the intended results. Below in figure X, a simulation was performed in the Vivado environment where, on two occasions, a character was received at the Rx port and then forwarded to the Tx port, ending with the transmission of this last character three times. This final step was to verify that if the txStart bit remains active, it will cause the last value written to the Tx FIFO to be sent.</w:t>
      </w:r>
    </w:p>
    <w:p w:rsidR="00000000" w:rsidDel="00000000" w:rsidP="00000000" w:rsidRDefault="00000000" w:rsidRPr="00000000" w14:paraId="00000016">
      <w:pPr>
        <w:rPr/>
      </w:pPr>
      <w:r w:rsidDel="00000000" w:rsidR="00000000" w:rsidRPr="00000000">
        <w:rPr/>
        <w:drawing>
          <wp:inline distB="114300" distT="114300" distL="114300" distR="114300">
            <wp:extent cx="5731200" cy="2235200"/>
            <wp:effectExtent b="0" l="0" r="0" t="0"/>
            <wp:docPr id="6"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i w:val="1"/>
          <w:color w:val="999999"/>
          <w:rtl w:val="0"/>
        </w:rPr>
        <w:t xml:space="preserve">Figure 6 - Post-Synthesis functional Test Bench</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After generating the bitstream for the Zybo Z7-10 board, external software was used to verify the reception and transmission of data. Figures X and X demonstrate the behavior previously defined.</w:t>
      </w:r>
    </w:p>
    <w:p w:rsidR="00000000" w:rsidDel="00000000" w:rsidP="00000000" w:rsidRDefault="00000000" w:rsidRPr="00000000" w14:paraId="00000019">
      <w:pPr>
        <w:spacing w:after="240" w:before="240" w:lineRule="auto"/>
        <w:jc w:val="center"/>
        <w:rPr/>
      </w:pPr>
      <w:r w:rsidDel="00000000" w:rsidR="00000000" w:rsidRPr="00000000">
        <w:rPr/>
        <w:drawing>
          <wp:inline distB="114300" distT="114300" distL="114300" distR="114300">
            <wp:extent cx="3750957" cy="3793874"/>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750957" cy="379387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i w:val="1"/>
          <w:color w:val="999999"/>
        </w:rPr>
      </w:pPr>
      <w:r w:rsidDel="00000000" w:rsidR="00000000" w:rsidRPr="00000000">
        <w:rPr>
          <w:i w:val="1"/>
          <w:color w:val="999999"/>
          <w:rtl w:val="0"/>
        </w:rPr>
        <w:t xml:space="preserve">Figure 7 - Reception and transmission test, using CuteCom to visualization </w:t>
      </w:r>
    </w:p>
    <w:p w:rsidR="00000000" w:rsidDel="00000000" w:rsidP="00000000" w:rsidRDefault="00000000" w:rsidRPr="00000000" w14:paraId="0000001B">
      <w:pPr>
        <w:spacing w:after="240" w:before="240" w:lineRule="auto"/>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114300" distT="114300" distL="114300" distR="114300">
            <wp:extent cx="5731200" cy="3175000"/>
            <wp:effectExtent b="0" l="0" r="0" t="0"/>
            <wp:docPr id="2"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i w:val="1"/>
          <w:color w:val="999999"/>
        </w:rPr>
      </w:pPr>
      <w:r w:rsidDel="00000000" w:rsidR="00000000" w:rsidRPr="00000000">
        <w:rPr>
          <w:i w:val="1"/>
          <w:color w:val="999999"/>
          <w:rtl w:val="0"/>
        </w:rPr>
        <w:t xml:space="preserve">Figure 7 - Validation of data value sent</w:t>
      </w:r>
    </w:p>
    <w:p w:rsidR="00000000" w:rsidDel="00000000" w:rsidP="00000000" w:rsidRDefault="00000000" w:rsidRPr="00000000" w14:paraId="0000001E">
      <w:pPr>
        <w:rPr>
          <w:i w:val="1"/>
          <w:color w:val="999999"/>
        </w:rPr>
      </w:pPr>
      <w:r w:rsidDel="00000000" w:rsidR="00000000" w:rsidRPr="00000000">
        <w:rPr>
          <w:rtl w:val="0"/>
        </w:rPr>
      </w:r>
    </w:p>
    <w:p w:rsidR="00000000" w:rsidDel="00000000" w:rsidP="00000000" w:rsidRDefault="00000000" w:rsidRPr="00000000" w14:paraId="0000001F">
      <w:pPr>
        <w:rPr>
          <w:i w:val="1"/>
          <w:color w:val="999999"/>
        </w:rPr>
      </w:pPr>
      <w:r w:rsidDel="00000000" w:rsidR="00000000" w:rsidRPr="00000000">
        <w:rPr>
          <w:i w:val="1"/>
          <w:color w:val="999999"/>
        </w:rPr>
        <w:drawing>
          <wp:inline distB="114300" distT="114300" distL="114300" distR="114300">
            <wp:extent cx="5731200" cy="31750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175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P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6.png"/><Relationship Id="rId13" Type="http://schemas.openxmlformats.org/officeDocument/2006/relationships/image" Target="media/image8.jp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