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0C4" w:rsidRDefault="00A059DD" w:rsidP="00043D8A">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65pt;margin-top:32.7pt;width:484pt;height:70.05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">
            <v:textbox style="mso-fit-shape-to-text:t">
              <w:txbxContent>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581480" w:rsidRPr="00A15E62">
                    <w:rPr>
                      <w:rFonts w:ascii="Times New Roman" w:hAnsi="Times New Roman" w:cs="Times New Roman"/>
                      <w:b/>
                      <w:sz w:val="24"/>
                      <w:szCs w:val="24"/>
                    </w:rPr>
                    <w:t>THIRD TRIMESTER</w:t>
                  </w:r>
                </w:p>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rsidR="00A250C4" w:rsidRPr="00B84BCA" w:rsidRDefault="00A250C4" w:rsidP="00043D8A">
      <w:pPr>
        <w:spacing w:after="32" w:line="240" w:lineRule="auto"/>
        <w:rPr>
          <w:rFonts w:ascii="Arial" w:hAnsi="Arial" w:cs="Arial"/>
          <w:sz w:val="20"/>
          <w:szCs w:val="20"/>
        </w:rPr>
      </w:pPr>
    </w:p>
    <w:p w:rsidR="00F22009" w:rsidRPr="00B84BCA" w:rsidRDefault="00F22009" w:rsidP="00043D8A">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990"/>
        <w:gridCol w:w="7791"/>
      </w:tblGrid>
      <w:tr w:rsidR="00F22009" w:rsidRPr="00B84BCA" w:rsidTr="00043D8A">
        <w:trPr>
          <w:trHeight w:val="548"/>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7791" w:type="dxa"/>
            <w:tcBorders>
              <w:top w:val="single" w:sz="4" w:space="0" w:color="000000"/>
              <w:left w:val="single" w:sz="4" w:space="0" w:color="000000"/>
              <w:bottom w:val="single" w:sz="4" w:space="0" w:color="000000"/>
              <w:right w:val="single" w:sz="4" w:space="0" w:color="000000"/>
            </w:tcBorders>
            <w:vAlign w:val="center"/>
          </w:tcPr>
          <w:p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E740EE">
              <w:rPr>
                <w:rFonts w:ascii="Arial" w:eastAsia="Arial Unicode MS" w:hAnsi="Arial" w:cs="Arial"/>
                <w:sz w:val="32"/>
                <w:szCs w:val="32"/>
              </w:rPr>
              <w:t>Trading</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rsidR="00F22009" w:rsidRPr="00A37BDF" w:rsidRDefault="00F22009" w:rsidP="008D7E55">
            <w:pPr>
              <w:rPr>
                <w:rFonts w:ascii="Arial" w:hAnsi="Arial" w:cs="Arial"/>
                <w:sz w:val="32"/>
                <w:szCs w:val="32"/>
              </w:rPr>
            </w:pPr>
          </w:p>
        </w:tc>
      </w:tr>
      <w:tr w:rsidR="00F22009" w:rsidRPr="00B84BCA" w:rsidTr="00043D8A">
        <w:trPr>
          <w:trHeight w:val="1639"/>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C313A4" w:rsidRPr="00F86B88" w:rsidRDefault="00C313A4" w:rsidP="00C313A4">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Majority of share market investment decisions are highly influenced by herd mentality. To avoid herd mentality, we should not blindly invest in </w:t>
            </w:r>
            <w:r>
              <w:rPr>
                <w:rFonts w:ascii="Arial" w:eastAsiaTheme="minorEastAsia" w:hAnsi="Arial" w:cs="Arial"/>
                <w:color w:val="auto"/>
                <w:sz w:val="32"/>
                <w:szCs w:val="32"/>
                <w:lang w:val="en-US"/>
              </w:rPr>
              <w:t>any stock</w:t>
            </w:r>
            <w:r w:rsidRPr="00F86B88">
              <w:rPr>
                <w:rFonts w:ascii="Arial" w:eastAsiaTheme="minorEastAsia" w:hAnsi="Arial" w:cs="Arial"/>
                <w:color w:val="auto"/>
                <w:sz w:val="32"/>
                <w:szCs w:val="32"/>
                <w:lang w:val="en-US"/>
              </w:rPr>
              <w:t xml:space="preserve"> based on what others are doing. </w:t>
            </w:r>
          </w:p>
          <w:p w:rsidR="00C313A4" w:rsidRDefault="00C313A4" w:rsidP="00C313A4">
            <w:pPr>
              <w:spacing w:after="33" w:line="240" w:lineRule="auto"/>
              <w:rPr>
                <w:rFonts w:ascii="Arial" w:eastAsiaTheme="minorEastAsia" w:hAnsi="Arial" w:cs="Arial"/>
                <w:color w:val="auto"/>
                <w:sz w:val="32"/>
                <w:szCs w:val="32"/>
                <w:lang w:val="en-US"/>
              </w:rPr>
            </w:pPr>
          </w:p>
          <w:p w:rsidR="007B34B0" w:rsidRDefault="00C313A4" w:rsidP="00043D8A">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When mak</w:t>
            </w:r>
            <w:r>
              <w:rPr>
                <w:rFonts w:ascii="Arial" w:eastAsiaTheme="minorEastAsia" w:hAnsi="Arial" w:cs="Arial"/>
                <w:color w:val="auto"/>
                <w:sz w:val="32"/>
                <w:szCs w:val="32"/>
                <w:lang w:val="en-US"/>
              </w:rPr>
              <w:t>ing investments in Stocks</w:t>
            </w:r>
            <w:r w:rsidRPr="00F86B88">
              <w:rPr>
                <w:rFonts w:ascii="Arial" w:eastAsiaTheme="minorEastAsia" w:hAnsi="Arial" w:cs="Arial"/>
                <w:color w:val="auto"/>
                <w:sz w:val="32"/>
                <w:szCs w:val="32"/>
                <w:lang w:val="en-US"/>
              </w:rPr>
              <w:t>, we need to study the related factors more carefully. In some industries, data is not easily available and we need to put in extra efforts to find and evaluate data and make wiser decisions accordingly.</w:t>
            </w:r>
          </w:p>
          <w:p w:rsidR="00037C6E" w:rsidRPr="00A37BDF" w:rsidRDefault="00037C6E" w:rsidP="00037C6E">
            <w:pPr>
              <w:spacing w:after="33" w:line="240" w:lineRule="auto"/>
              <w:rPr>
                <w:rFonts w:ascii="Arial" w:hAnsi="Arial" w:cs="Arial"/>
                <w:i/>
                <w:color w:val="auto"/>
                <w:sz w:val="32"/>
                <w:szCs w:val="32"/>
              </w:rPr>
            </w:pPr>
          </w:p>
        </w:tc>
      </w:tr>
      <w:tr w:rsidR="00F22009" w:rsidRPr="00B84BCA" w:rsidTr="00043D8A">
        <w:trPr>
          <w:trHeight w:val="1123"/>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Statement of the Problem</w:t>
            </w:r>
          </w:p>
        </w:tc>
        <w:tc>
          <w:tcPr>
            <w:tcW w:w="7791" w:type="dxa"/>
            <w:tcBorders>
              <w:top w:val="single" w:sz="4" w:space="0" w:color="000000"/>
              <w:left w:val="single" w:sz="4" w:space="0" w:color="000000"/>
              <w:bottom w:val="single" w:sz="4" w:space="0" w:color="000000"/>
              <w:right w:val="single" w:sz="4" w:space="0" w:color="000000"/>
            </w:tcBorders>
            <w:vAlign w:val="center"/>
          </w:tcPr>
          <w:p w:rsidR="00AE7AE4" w:rsidRPr="00AE7AE4" w:rsidRDefault="00AE7AE4" w:rsidP="00AE7AE4">
            <w:pPr>
              <w:pStyle w:val="ListParagraph"/>
              <w:numPr>
                <w:ilvl w:val="0"/>
                <w:numId w:val="5"/>
              </w:numPr>
              <w:spacing w:after="33" w:line="240" w:lineRule="auto"/>
              <w:rPr>
                <w:rFonts w:ascii="Arial" w:hAnsi="Arial" w:cs="Arial"/>
                <w:sz w:val="32"/>
                <w:szCs w:val="32"/>
              </w:rPr>
            </w:pPr>
            <w:r w:rsidRPr="00AE7AE4">
              <w:rPr>
                <w:rFonts w:ascii="Arial" w:hAnsi="Arial" w:cs="Arial"/>
                <w:sz w:val="32"/>
                <w:szCs w:val="32"/>
              </w:rPr>
              <w:t>To design and carry out experiments using scientific m</w:t>
            </w:r>
            <w:r w:rsidR="00D06DC9">
              <w:rPr>
                <w:rFonts w:ascii="Arial" w:hAnsi="Arial" w:cs="Arial"/>
                <w:sz w:val="32"/>
                <w:szCs w:val="32"/>
              </w:rPr>
              <w:t>ethods, all formulated hypothesi</w:t>
            </w:r>
            <w:r w:rsidRPr="00AE7AE4">
              <w:rPr>
                <w:rFonts w:ascii="Arial" w:hAnsi="Arial" w:cs="Arial"/>
                <w:sz w:val="32"/>
                <w:szCs w:val="32"/>
              </w:rPr>
              <w:t xml:space="preserve">s must be valid. The validity of the theory has to be proved. There must be a possibility to refute the theory. The result of the hypothesis must be valid. Without these </w:t>
            </w:r>
            <w:r w:rsidR="00CC22DD">
              <w:rPr>
                <w:rFonts w:ascii="Arial" w:hAnsi="Arial" w:cs="Arial"/>
                <w:sz w:val="32"/>
                <w:szCs w:val="32"/>
              </w:rPr>
              <w:t>requirements, hypothesi</w:t>
            </w:r>
            <w:r w:rsidRPr="00AE7AE4">
              <w:rPr>
                <w:rFonts w:ascii="Arial" w:hAnsi="Arial" w:cs="Arial"/>
                <w:sz w:val="32"/>
                <w:szCs w:val="32"/>
              </w:rPr>
              <w:t xml:space="preserve">s and </w:t>
            </w:r>
            <w:r w:rsidRPr="00AE7AE4">
              <w:rPr>
                <w:rFonts w:ascii="Arial" w:hAnsi="Arial" w:cs="Arial"/>
                <w:sz w:val="32"/>
                <w:szCs w:val="32"/>
              </w:rPr>
              <w:lastRenderedPageBreak/>
              <w:t xml:space="preserve">results are ambiguous. </w:t>
            </w:r>
            <w:r w:rsidR="00FF396A" w:rsidRPr="00FF396A">
              <w:rPr>
                <w:rFonts w:ascii="Arial" w:hAnsi="Arial" w:cs="Arial"/>
                <w:sz w:val="32"/>
                <w:szCs w:val="32"/>
              </w:rPr>
              <w:t>Therefore, it is necessary to forecast buy and sell choices in the stock market using appropriate rule-based hypothesis testing models.</w:t>
            </w:r>
          </w:p>
          <w:p w:rsidR="00AE7AE4" w:rsidRPr="00AE7AE4" w:rsidRDefault="00AE7AE4" w:rsidP="00AE7AE4">
            <w:pPr>
              <w:pStyle w:val="ListParagraph"/>
              <w:spacing w:after="33" w:line="240" w:lineRule="auto"/>
              <w:ind w:left="360"/>
              <w:rPr>
                <w:rFonts w:ascii="Arial" w:hAnsi="Arial" w:cs="Arial"/>
                <w:sz w:val="32"/>
                <w:szCs w:val="32"/>
              </w:rPr>
            </w:pPr>
          </w:p>
          <w:p w:rsidR="0017311D" w:rsidRPr="00A37BDF" w:rsidRDefault="00AE7AE4" w:rsidP="00AE7AE4">
            <w:pPr>
              <w:pStyle w:val="ListParagraph"/>
              <w:numPr>
                <w:ilvl w:val="0"/>
                <w:numId w:val="5"/>
              </w:numPr>
              <w:spacing w:after="33" w:line="240" w:lineRule="auto"/>
              <w:rPr>
                <w:rFonts w:ascii="Arial" w:hAnsi="Arial" w:cs="Arial"/>
                <w:sz w:val="32"/>
                <w:szCs w:val="32"/>
              </w:rPr>
            </w:pPr>
            <w:r>
              <w:rPr>
                <w:rFonts w:ascii="Arial" w:hAnsi="Arial" w:cs="Arial"/>
                <w:sz w:val="32"/>
                <w:szCs w:val="32"/>
              </w:rPr>
              <w:t>I</w:t>
            </w:r>
            <w:r w:rsidRPr="00AE7AE4">
              <w:rPr>
                <w:rFonts w:ascii="Arial" w:hAnsi="Arial" w:cs="Arial"/>
                <w:sz w:val="32"/>
                <w:szCs w:val="32"/>
              </w:rPr>
              <w:t>t is also required to develop time-series techniques that use lag moving averages to smooth out time-series data so that these processes can be used in technical analysis to predict future securities prices.</w:t>
            </w:r>
          </w:p>
          <w:p w:rsidR="00F22009" w:rsidRPr="00A37BDF" w:rsidRDefault="00F22009" w:rsidP="0017311D">
            <w:pPr>
              <w:pStyle w:val="ListParagraph"/>
              <w:spacing w:after="33" w:line="240" w:lineRule="auto"/>
              <w:ind w:left="360"/>
              <w:rPr>
                <w:rFonts w:ascii="Arial" w:hAnsi="Arial" w:cs="Arial"/>
                <w:sz w:val="32"/>
                <w:szCs w:val="32"/>
              </w:rPr>
            </w:pPr>
          </w:p>
        </w:tc>
      </w:tr>
      <w:tr w:rsidR="00F22009" w:rsidRPr="00B84BCA" w:rsidTr="00043D8A">
        <w:trPr>
          <w:trHeight w:val="172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DA7E07" w:rsidRDefault="00DA7E07"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 xml:space="preserve">A rule-based model is being developed to do hypothesis testing to determine whether the chosen stock's price is crossing any of the following moving averages: the 7-day, 13-day, 20-day, 100-day, and 200-day moving averages.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It will be a purch</w:t>
            </w:r>
            <w:r>
              <w:rPr>
                <w:rFonts w:ascii="Arial" w:hAnsi="Arial" w:cs="Arial"/>
                <w:sz w:val="32"/>
                <w:szCs w:val="32"/>
              </w:rPr>
              <w:t xml:space="preserve">ase decision </w:t>
            </w:r>
            <w:r w:rsidRPr="007E3084">
              <w:rPr>
                <w:rFonts w:ascii="Arial" w:hAnsi="Arial" w:cs="Arial"/>
                <w:sz w:val="32"/>
                <w:szCs w:val="32"/>
              </w:rPr>
              <w:t xml:space="preserve">if the projection indicates that the value will be higher than various Moving Averages.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 xml:space="preserve">Exponential Time series Models will be used to create the same five hypothesis testing models.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p>
          <w:p w:rsidR="00DA7E07" w:rsidRDefault="007E3084" w:rsidP="00DA7E07">
            <w:pPr>
              <w:spacing w:after="33" w:line="240" w:lineRule="auto"/>
              <w:jc w:val="both"/>
              <w:rPr>
                <w:rFonts w:ascii="Arial" w:hAnsi="Arial" w:cs="Arial"/>
                <w:sz w:val="32"/>
                <w:szCs w:val="32"/>
              </w:rPr>
            </w:pPr>
            <w:r w:rsidRPr="007E3084">
              <w:rPr>
                <w:rFonts w:ascii="Arial" w:hAnsi="Arial" w:cs="Arial"/>
                <w:sz w:val="32"/>
                <w:szCs w:val="32"/>
              </w:rPr>
              <w:lastRenderedPageBreak/>
              <w:t>After that, five further ARIMA-based time series models will be created to support our buy or sell recommendation for every stock.</w:t>
            </w:r>
          </w:p>
          <w:p w:rsidR="007E3084" w:rsidRDefault="007E3084" w:rsidP="00DA7E07">
            <w:pPr>
              <w:spacing w:after="33" w:line="240" w:lineRule="auto"/>
              <w:jc w:val="both"/>
              <w:rPr>
                <w:rFonts w:ascii="Arial" w:hAnsi="Arial" w:cs="Arial"/>
                <w:sz w:val="32"/>
                <w:szCs w:val="32"/>
              </w:rPr>
            </w:pPr>
          </w:p>
          <w:p w:rsidR="00DB29D0" w:rsidRPr="00DB29D0" w:rsidRDefault="007E3084" w:rsidP="00DB29D0">
            <w:pPr>
              <w:spacing w:after="33" w:line="240" w:lineRule="auto"/>
              <w:jc w:val="both"/>
              <w:rPr>
                <w:rFonts w:ascii="Arial" w:hAnsi="Arial" w:cs="Arial"/>
                <w:sz w:val="32"/>
                <w:szCs w:val="32"/>
              </w:rPr>
            </w:pPr>
            <w:r w:rsidRPr="007E3084">
              <w:rPr>
                <w:rFonts w:ascii="Arial" w:hAnsi="Arial" w:cs="Arial"/>
                <w:sz w:val="32"/>
                <w:szCs w:val="32"/>
              </w:rPr>
              <w:t>The idea is to determine how much profit, assuming $10,000 is invested in HDFC stock, will result from our forecasting outputs from these 15 various models.</w:t>
            </w:r>
          </w:p>
          <w:p w:rsidR="00BA62B1" w:rsidRPr="00A37BDF" w:rsidRDefault="00BA62B1" w:rsidP="00BA62B1">
            <w:pPr>
              <w:pStyle w:val="ListParagraph"/>
              <w:spacing w:after="33" w:line="240" w:lineRule="auto"/>
              <w:ind w:left="360"/>
              <w:jc w:val="both"/>
              <w:rPr>
                <w:rFonts w:ascii="Arial" w:hAnsi="Arial" w:cs="Arial"/>
                <w:sz w:val="32"/>
                <w:szCs w:val="32"/>
              </w:rPr>
            </w:pPr>
          </w:p>
        </w:tc>
      </w:tr>
      <w:tr w:rsidR="00F22009" w:rsidRPr="00B84BCA" w:rsidTr="00043D8A">
        <w:trPr>
          <w:trHeight w:val="2464"/>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7791" w:type="dxa"/>
            <w:tcBorders>
              <w:top w:val="single" w:sz="4" w:space="0" w:color="000000"/>
              <w:left w:val="single" w:sz="4" w:space="0" w:color="000000"/>
              <w:bottom w:val="single" w:sz="4" w:space="0" w:color="000000"/>
              <w:right w:val="single" w:sz="4" w:space="0" w:color="000000"/>
            </w:tcBorders>
            <w:vAlign w:val="center"/>
          </w:tcPr>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HDFC excel data is put in Tabular form in step 1.</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2: The time series data is plotted for the HDFC stock that is provided as a dataset for the project for all ten years.</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The 7-day moving average time series data is added in step 3.</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4: The data for a 7-day moving average time series is being plotted.</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5: The data from a rolling 7-day moving average is included in the Data frame.</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6: It is determined whether the closing price value on a certain prior day was lower or higher than the current 7-day moving average.</w:t>
            </w:r>
          </w:p>
          <w:p w:rsidR="008560A3" w:rsidRPr="008560A3" w:rsidRDefault="008560A3" w:rsidP="008560A3">
            <w:pPr>
              <w:pStyle w:val="ListParagraph"/>
              <w:autoSpaceDE w:val="0"/>
              <w:autoSpaceDN w:val="0"/>
              <w:adjustRightInd w:val="0"/>
              <w:spacing w:line="240" w:lineRule="auto"/>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If yesterday's closing price was below the 7-day moving average and the overall trend is upward, the stock price is likely to increase tomorrow.</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E35A48"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It will serve as the hypothesis testing rule. It is to be determined how frequently the price rise predicted by the hypothesis testing is the same as the actual price rise for the next day.</w:t>
            </w:r>
          </w:p>
          <w:p w:rsidR="003651BB" w:rsidRDefault="003651BB" w:rsidP="008560A3">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It is necessary to repeatedly verify the hypothesis testing rule's percentage accuracy. T-test can be used to perform hypothesis testing if the sample s</w:t>
            </w:r>
            <w:r w:rsidR="00795804">
              <w:rPr>
                <w:rFonts w:ascii="Arial" w:hAnsi="Arial" w:cs="Arial"/>
                <w:sz w:val="32"/>
                <w:szCs w:val="32"/>
              </w:rPr>
              <w:t>ize for testing is lesser</w:t>
            </w:r>
            <w:r w:rsidRPr="003651BB">
              <w:rPr>
                <w:rFonts w:ascii="Arial" w:hAnsi="Arial" w:cs="Arial"/>
                <w:sz w:val="32"/>
                <w:szCs w:val="32"/>
              </w:rPr>
              <w:t xml:space="preserve"> than 30 samples. Z-Test can be used to validate null and alternate hypothesis testing for samples larger than 30.</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7: The same step is performed for the moving averages of 13 days, 20 days, 100 days, and 200 days.</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8: Exponential Moving Average is used to recreate the five different models created using Simple Moving Average.</w:t>
            </w:r>
          </w:p>
          <w:p w:rsidR="003651BB" w:rsidRPr="003651BB" w:rsidRDefault="003651BB" w:rsidP="003651BB">
            <w:pPr>
              <w:pStyle w:val="ListParagraph"/>
              <w:autoSpaceDE w:val="0"/>
              <w:autoSpaceDN w:val="0"/>
              <w:adjustRightInd w:val="0"/>
              <w:spacing w:line="240" w:lineRule="auto"/>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9: ARIMA Time series modelling is used to create an additional five different models.</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lastRenderedPageBreak/>
              <w:t>The construction of all 15 models, as seen above, will be used to forecast day trading in the stock market.</w:t>
            </w:r>
          </w:p>
          <w:p w:rsid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DB29D0"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When the ma</w:t>
            </w:r>
            <w:r>
              <w:rPr>
                <w:rFonts w:ascii="Arial" w:hAnsi="Arial" w:cs="Arial"/>
                <w:sz w:val="32"/>
                <w:szCs w:val="32"/>
              </w:rPr>
              <w:t xml:space="preserve">jority of the 15 various models or all of them </w:t>
            </w:r>
            <w:r w:rsidRPr="003651BB">
              <w:rPr>
                <w:rFonts w:ascii="Arial" w:hAnsi="Arial" w:cs="Arial"/>
                <w:sz w:val="32"/>
                <w:szCs w:val="32"/>
              </w:rPr>
              <w:t>move in the same direction, a choice on whether to purchase or sell the stock must be made. What works in the Indian stock market must be proven with evidence. Any stock on the stock market can utilise the same procedure to forecast buy or sell choices, which is helpful.</w:t>
            </w:r>
          </w:p>
          <w:p w:rsidR="00F22009" w:rsidRPr="00DB29D0" w:rsidRDefault="00F22009" w:rsidP="00E45024">
            <w:pPr>
              <w:pStyle w:val="ListParagraph"/>
              <w:autoSpaceDE w:val="0"/>
              <w:autoSpaceDN w:val="0"/>
              <w:adjustRightInd w:val="0"/>
              <w:spacing w:line="240" w:lineRule="auto"/>
              <w:ind w:left="0"/>
              <w:jc w:val="both"/>
              <w:rPr>
                <w:rFonts w:ascii="Arial" w:hAnsi="Arial" w:cs="Arial"/>
                <w:sz w:val="32"/>
                <w:szCs w:val="32"/>
              </w:rPr>
            </w:pPr>
          </w:p>
        </w:tc>
      </w:tr>
      <w:tr w:rsidR="00F22009" w:rsidRPr="00B84BCA" w:rsidTr="00547C05">
        <w:trPr>
          <w:trHeight w:val="201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7791" w:type="dxa"/>
            <w:tcBorders>
              <w:top w:val="single" w:sz="4" w:space="0" w:color="000000"/>
              <w:left w:val="single" w:sz="4" w:space="0" w:color="000000"/>
              <w:bottom w:val="single" w:sz="4" w:space="0" w:color="000000"/>
              <w:right w:val="single" w:sz="4" w:space="0" w:color="000000"/>
            </w:tcBorders>
            <w:vAlign w:val="center"/>
          </w:tcPr>
          <w:p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7791" w:type="dxa"/>
            <w:tcBorders>
              <w:top w:val="single" w:sz="4" w:space="0" w:color="000000"/>
              <w:left w:val="single" w:sz="4" w:space="0" w:color="000000"/>
              <w:bottom w:val="single" w:sz="4" w:space="0" w:color="000000"/>
              <w:right w:val="single" w:sz="4" w:space="0" w:color="000000"/>
            </w:tcBorders>
            <w:vAlign w:val="center"/>
          </w:tcPr>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sz w:val="32"/>
                <w:szCs w:val="32"/>
              </w:rPr>
              <w:t>1)</w:t>
            </w:r>
            <w:r w:rsidR="00A059DD" w:rsidRPr="00547C05">
              <w:rPr>
                <w:rFonts w:ascii="Arial" w:hAnsi="Arial" w:cs="Arial"/>
                <w:sz w:val="32"/>
                <w:szCs w:val="32"/>
              </w:rPr>
              <w:fldChar w:fldCharType="begin" w:fldLock="1"/>
            </w:r>
            <w:r w:rsidRPr="00547C05">
              <w:rPr>
                <w:rFonts w:ascii="Arial" w:hAnsi="Arial" w:cs="Arial"/>
                <w:sz w:val="32"/>
                <w:szCs w:val="32"/>
              </w:rPr>
              <w:instrText xml:space="preserve">ADDIN Mendeley Bibliography CSL_BIBLIOGRAPHY </w:instrText>
            </w:r>
            <w:r w:rsidR="00A059DD" w:rsidRPr="00547C05">
              <w:rPr>
                <w:rFonts w:ascii="Arial" w:hAnsi="Arial" w:cs="Arial"/>
                <w:sz w:val="32"/>
                <w:szCs w:val="32"/>
              </w:rPr>
              <w:fldChar w:fldCharType="separate"/>
            </w:r>
            <w:r w:rsidRPr="00547C05">
              <w:rPr>
                <w:rFonts w:ascii="Arial" w:hAnsi="Arial" w:cs="Arial"/>
                <w:noProof/>
                <w:sz w:val="32"/>
                <w:szCs w:val="24"/>
              </w:rPr>
              <w:t xml:space="preserve">Al-Chalabi, H., Al-Douri, Y. K., &amp; Lundberg, J. (2018). </w:t>
            </w:r>
            <w:r w:rsidRPr="00547C05">
              <w:rPr>
                <w:rFonts w:ascii="Arial" w:hAnsi="Arial" w:cs="Arial"/>
                <w:i/>
                <w:iCs/>
                <w:noProof/>
                <w:sz w:val="32"/>
                <w:szCs w:val="24"/>
              </w:rPr>
              <w:t>Time Series Forecasting using ARIMA Model A Case Study of Mining Face Drilling Rig</w:t>
            </w:r>
            <w:r w:rsidRPr="00547C05">
              <w:rPr>
                <w:rFonts w:ascii="Arial" w:hAnsi="Arial" w:cs="Arial"/>
                <w:noProof/>
                <w:sz w:val="32"/>
                <w:szCs w:val="24"/>
              </w:rPr>
              <w:t xml:space="preserve">. </w:t>
            </w:r>
            <w:r w:rsidRPr="00547C05">
              <w:rPr>
                <w:rFonts w:ascii="Arial" w:hAnsi="Arial" w:cs="Arial"/>
                <w:i/>
                <w:iCs/>
                <w:noProof/>
                <w:sz w:val="32"/>
                <w:szCs w:val="24"/>
              </w:rPr>
              <w:t>c</w:t>
            </w:r>
            <w:r w:rsidRPr="00547C05">
              <w:rPr>
                <w:rFonts w:ascii="Arial" w:hAnsi="Arial" w:cs="Arial"/>
                <w:noProof/>
                <w:sz w:val="32"/>
                <w:szCs w:val="24"/>
              </w:rPr>
              <w:t>, 4–6.</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2)</w:t>
            </w:r>
            <w:r w:rsidRPr="00547C05">
              <w:rPr>
                <w:rFonts w:ascii="Arial" w:hAnsi="Arial" w:cs="Arial"/>
                <w:noProof/>
                <w:sz w:val="32"/>
                <w:szCs w:val="24"/>
              </w:rPr>
              <w:t xml:space="preserve">Alsharif, M. H., Younes, M. K., &amp; Kim, J. (2019). Time series ARIMA model for prediction of daily and monthly average global solar radiation: The case study of Seoul, South Korea. </w:t>
            </w:r>
            <w:r w:rsidRPr="00547C05">
              <w:rPr>
                <w:rFonts w:ascii="Arial" w:hAnsi="Arial" w:cs="Arial"/>
                <w:i/>
                <w:iCs/>
                <w:noProof/>
                <w:sz w:val="32"/>
                <w:szCs w:val="24"/>
              </w:rPr>
              <w:t>Symmetry</w:t>
            </w:r>
            <w:r w:rsidRPr="00547C05">
              <w:rPr>
                <w:rFonts w:ascii="Arial" w:hAnsi="Arial" w:cs="Arial"/>
                <w:noProof/>
                <w:sz w:val="32"/>
                <w:szCs w:val="24"/>
              </w:rPr>
              <w:t xml:space="preserve">, </w:t>
            </w:r>
            <w:r w:rsidRPr="00547C05">
              <w:rPr>
                <w:rFonts w:ascii="Arial" w:hAnsi="Arial" w:cs="Arial"/>
                <w:i/>
                <w:iCs/>
                <w:noProof/>
                <w:sz w:val="32"/>
                <w:szCs w:val="24"/>
              </w:rPr>
              <w:t>11</w:t>
            </w:r>
            <w:r w:rsidRPr="00547C05">
              <w:rPr>
                <w:rFonts w:ascii="Arial" w:hAnsi="Arial" w:cs="Arial"/>
                <w:noProof/>
                <w:sz w:val="32"/>
                <w:szCs w:val="24"/>
              </w:rPr>
              <w:t>(2), 1–17. https://doi.org/10.3390/sym11020240</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lastRenderedPageBreak/>
              <w:t>3)</w:t>
            </w:r>
            <w:r w:rsidRPr="00547C05">
              <w:rPr>
                <w:rFonts w:ascii="Arial" w:hAnsi="Arial" w:cs="Arial"/>
                <w:noProof/>
                <w:sz w:val="32"/>
                <w:szCs w:val="24"/>
              </w:rPr>
              <w:t xml:space="preserve">Evans, F. R. A. (1895). the Birmingham Lunacy Prosecution. </w:t>
            </w:r>
            <w:r w:rsidRPr="00547C05">
              <w:rPr>
                <w:rFonts w:ascii="Arial" w:hAnsi="Arial" w:cs="Arial"/>
                <w:i/>
                <w:iCs/>
                <w:noProof/>
                <w:sz w:val="32"/>
                <w:szCs w:val="24"/>
              </w:rPr>
              <w:t>The Lancet</w:t>
            </w:r>
            <w:r w:rsidRPr="00547C05">
              <w:rPr>
                <w:rFonts w:ascii="Arial" w:hAnsi="Arial" w:cs="Arial"/>
                <w:noProof/>
                <w:sz w:val="32"/>
                <w:szCs w:val="24"/>
              </w:rPr>
              <w:t xml:space="preserve">, </w:t>
            </w:r>
            <w:r w:rsidRPr="00547C05">
              <w:rPr>
                <w:rFonts w:ascii="Arial" w:hAnsi="Arial" w:cs="Arial"/>
                <w:i/>
                <w:iCs/>
                <w:noProof/>
                <w:sz w:val="32"/>
                <w:szCs w:val="24"/>
              </w:rPr>
              <w:t>146</w:t>
            </w:r>
            <w:r w:rsidRPr="00547C05">
              <w:rPr>
                <w:rFonts w:ascii="Arial" w:hAnsi="Arial" w:cs="Arial"/>
                <w:noProof/>
                <w:sz w:val="32"/>
                <w:szCs w:val="24"/>
              </w:rPr>
              <w:t>(3765), 1066–1067. https://doi.org/10.1016/S0140-6736(01)13488-4</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4)</w:t>
            </w:r>
            <w:r w:rsidRPr="00547C05">
              <w:rPr>
                <w:rFonts w:ascii="Arial" w:hAnsi="Arial" w:cs="Arial"/>
                <w:noProof/>
                <w:sz w:val="32"/>
                <w:szCs w:val="24"/>
              </w:rPr>
              <w:t xml:space="preserve">Farhath, A. A. (2016). International Journal of Computer Science and Mobile Computing A SURVEY ON ARIMA FORECASTING USING TIME SERIES MODEL. </w:t>
            </w:r>
            <w:r w:rsidRPr="00547C05">
              <w:rPr>
                <w:rFonts w:ascii="Arial" w:hAnsi="Arial" w:cs="Arial"/>
                <w:i/>
                <w:iCs/>
                <w:noProof/>
                <w:sz w:val="32"/>
                <w:szCs w:val="24"/>
              </w:rPr>
              <w:t>International Journal of Computer Science and Mobile Computing</w:t>
            </w:r>
            <w:r w:rsidRPr="00547C05">
              <w:rPr>
                <w:rFonts w:ascii="Arial" w:hAnsi="Arial" w:cs="Arial"/>
                <w:noProof/>
                <w:sz w:val="32"/>
                <w:szCs w:val="24"/>
              </w:rPr>
              <w:t xml:space="preserve">, </w:t>
            </w:r>
            <w:r w:rsidRPr="00547C05">
              <w:rPr>
                <w:rFonts w:ascii="Arial" w:hAnsi="Arial" w:cs="Arial"/>
                <w:i/>
                <w:iCs/>
                <w:noProof/>
                <w:sz w:val="32"/>
                <w:szCs w:val="24"/>
              </w:rPr>
              <w:t>5</w:t>
            </w:r>
            <w:r w:rsidRPr="00547C05">
              <w:rPr>
                <w:rFonts w:ascii="Arial" w:hAnsi="Arial" w:cs="Arial"/>
                <w:noProof/>
                <w:sz w:val="32"/>
                <w:szCs w:val="24"/>
              </w:rPr>
              <w:t>(8), 104–109. www.ijcsmc.com</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5)</w:t>
            </w:r>
            <w:r w:rsidRPr="00547C05">
              <w:rPr>
                <w:rFonts w:ascii="Arial" w:hAnsi="Arial" w:cs="Arial"/>
                <w:noProof/>
                <w:sz w:val="32"/>
                <w:szCs w:val="24"/>
              </w:rPr>
              <w:t xml:space="preserve">Jansson, P., &amp; Larsson, H. (2020). </w:t>
            </w:r>
            <w:r w:rsidRPr="00547C05">
              <w:rPr>
                <w:rFonts w:ascii="Arial" w:hAnsi="Arial" w:cs="Arial"/>
                <w:i/>
                <w:iCs/>
                <w:noProof/>
                <w:sz w:val="32"/>
                <w:szCs w:val="24"/>
              </w:rPr>
              <w:t>ARIMA Modeling: Forecasting Indices on the Stockholm Stock Exchange</w:t>
            </w:r>
            <w:r w:rsidRPr="00547C05">
              <w:rPr>
                <w:rFonts w:ascii="Arial" w:hAnsi="Arial" w:cs="Arial"/>
                <w:noProof/>
                <w:sz w:val="32"/>
                <w:szCs w:val="24"/>
              </w:rPr>
              <w:t>. 2–6.</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6)</w:t>
            </w:r>
            <w:r w:rsidRPr="00547C05">
              <w:rPr>
                <w:rFonts w:ascii="Arial" w:hAnsi="Arial" w:cs="Arial"/>
                <w:noProof/>
                <w:sz w:val="32"/>
                <w:szCs w:val="24"/>
              </w:rPr>
              <w:t xml:space="preserve">Journal, I., &amp; Engineering, O. F. (2018). International journal of engineering sciences &amp; research technology a review: optical character recognition. </w:t>
            </w:r>
            <w:r w:rsidRPr="00547C05">
              <w:rPr>
                <w:rFonts w:ascii="Arial" w:hAnsi="Arial" w:cs="Arial"/>
                <w:i/>
                <w:iCs/>
                <w:noProof/>
                <w:sz w:val="32"/>
                <w:szCs w:val="24"/>
              </w:rPr>
              <w:t>Int. J. Eng. Sci.</w:t>
            </w:r>
            <w:r w:rsidRPr="00547C05">
              <w:rPr>
                <w:rFonts w:ascii="Arial" w:hAnsi="Arial" w:cs="Arial"/>
                <w:noProof/>
                <w:sz w:val="32"/>
                <w:szCs w:val="24"/>
              </w:rPr>
              <w:t xml:space="preserve">, </w:t>
            </w:r>
            <w:r w:rsidRPr="00547C05">
              <w:rPr>
                <w:rFonts w:ascii="Arial" w:hAnsi="Arial" w:cs="Arial"/>
                <w:i/>
                <w:iCs/>
                <w:noProof/>
                <w:sz w:val="32"/>
                <w:szCs w:val="24"/>
              </w:rPr>
              <w:t>7</w:t>
            </w:r>
            <w:r w:rsidRPr="00547C05">
              <w:rPr>
                <w:rFonts w:ascii="Arial" w:hAnsi="Arial" w:cs="Arial"/>
                <w:noProof/>
                <w:sz w:val="32"/>
                <w:szCs w:val="24"/>
              </w:rPr>
              <w:t>(4), 233–238. http://www.ijesrt.com</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7)</w:t>
            </w:r>
            <w:r w:rsidRPr="00547C05">
              <w:rPr>
                <w:rFonts w:ascii="Arial" w:hAnsi="Arial" w:cs="Arial"/>
                <w:noProof/>
                <w:sz w:val="32"/>
                <w:szCs w:val="24"/>
              </w:rPr>
              <w:t xml:space="preserve">Kolkova, A. (2018). Indicators of technical analysis on the basis of moving averages as prognostic methods in the food industry. </w:t>
            </w:r>
            <w:r w:rsidRPr="00547C05">
              <w:rPr>
                <w:rFonts w:ascii="Arial" w:hAnsi="Arial" w:cs="Arial"/>
                <w:i/>
                <w:iCs/>
                <w:noProof/>
                <w:sz w:val="32"/>
                <w:szCs w:val="24"/>
              </w:rPr>
              <w:t>Journal of Competitiveness</w:t>
            </w:r>
            <w:r w:rsidRPr="00547C05">
              <w:rPr>
                <w:rFonts w:ascii="Arial" w:hAnsi="Arial" w:cs="Arial"/>
                <w:noProof/>
                <w:sz w:val="32"/>
                <w:szCs w:val="24"/>
              </w:rPr>
              <w:t xml:space="preserve">, </w:t>
            </w:r>
            <w:r w:rsidRPr="00547C05">
              <w:rPr>
                <w:rFonts w:ascii="Arial" w:hAnsi="Arial" w:cs="Arial"/>
                <w:i/>
                <w:iCs/>
                <w:noProof/>
                <w:sz w:val="32"/>
                <w:szCs w:val="24"/>
              </w:rPr>
              <w:t>10</w:t>
            </w:r>
            <w:r w:rsidRPr="00547C05">
              <w:rPr>
                <w:rFonts w:ascii="Arial" w:hAnsi="Arial" w:cs="Arial"/>
                <w:noProof/>
                <w:sz w:val="32"/>
                <w:szCs w:val="24"/>
              </w:rPr>
              <w:t>(4), 102–119. https://doi.org/10.7441/joc.2018.04.07</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8)</w:t>
            </w:r>
            <w:r w:rsidRPr="00547C05">
              <w:rPr>
                <w:rFonts w:ascii="Arial" w:hAnsi="Arial" w:cs="Arial"/>
                <w:noProof/>
                <w:sz w:val="32"/>
                <w:szCs w:val="24"/>
              </w:rPr>
              <w:t xml:space="preserve">Kunwar, N., &amp; May 29, 2021. (n.d.). </w:t>
            </w:r>
            <w:r w:rsidRPr="00547C05">
              <w:rPr>
                <w:rFonts w:ascii="Arial" w:hAnsi="Arial" w:cs="Arial"/>
                <w:i/>
                <w:iCs/>
                <w:noProof/>
                <w:sz w:val="32"/>
                <w:szCs w:val="24"/>
              </w:rPr>
              <w:t>11Hypothesis Testing</w:t>
            </w:r>
            <w:r w:rsidRPr="00547C05">
              <w:rPr>
                <w:rFonts w:ascii="Arial" w:hAnsi="Arial" w:cs="Arial"/>
                <w:noProof/>
                <w:sz w:val="32"/>
                <w:szCs w:val="24"/>
              </w:rPr>
              <w:t>.</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9)</w:t>
            </w:r>
            <w:r w:rsidRPr="00547C05">
              <w:rPr>
                <w:rFonts w:ascii="Arial" w:hAnsi="Arial" w:cs="Arial"/>
                <w:noProof/>
                <w:sz w:val="32"/>
                <w:szCs w:val="24"/>
              </w:rPr>
              <w:t xml:space="preserve">Md, N.-U.-R. C., Paul, S., &amp; Zakia Sultana, K. (2013). Statistical Analysis based Hypothesis Testing Method in Biological Knowledge </w:t>
            </w:r>
            <w:r w:rsidRPr="00547C05">
              <w:rPr>
                <w:rFonts w:ascii="Arial" w:hAnsi="Arial" w:cs="Arial"/>
                <w:noProof/>
                <w:sz w:val="32"/>
                <w:szCs w:val="24"/>
              </w:rPr>
              <w:lastRenderedPageBreak/>
              <w:t xml:space="preserve">Discovery. </w:t>
            </w:r>
            <w:r w:rsidRPr="00547C05">
              <w:rPr>
                <w:rFonts w:ascii="Arial" w:hAnsi="Arial" w:cs="Arial"/>
                <w:i/>
                <w:iCs/>
                <w:noProof/>
                <w:sz w:val="32"/>
                <w:szCs w:val="24"/>
              </w:rPr>
              <w:t>International Journal on Computational Science &amp; Applications</w:t>
            </w:r>
            <w:r w:rsidRPr="00547C05">
              <w:rPr>
                <w:rFonts w:ascii="Arial" w:hAnsi="Arial" w:cs="Arial"/>
                <w:noProof/>
                <w:sz w:val="32"/>
                <w:szCs w:val="24"/>
              </w:rPr>
              <w:t xml:space="preserve">, </w:t>
            </w:r>
            <w:r w:rsidRPr="00547C05">
              <w:rPr>
                <w:rFonts w:ascii="Arial" w:hAnsi="Arial" w:cs="Arial"/>
                <w:i/>
                <w:iCs/>
                <w:noProof/>
                <w:sz w:val="32"/>
                <w:szCs w:val="24"/>
              </w:rPr>
              <w:t>3</w:t>
            </w:r>
            <w:r w:rsidRPr="00547C05">
              <w:rPr>
                <w:rFonts w:ascii="Arial" w:hAnsi="Arial" w:cs="Arial"/>
                <w:noProof/>
                <w:sz w:val="32"/>
                <w:szCs w:val="24"/>
              </w:rPr>
              <w:t>(6), 21–29. https://doi.org/10.5121/ijcsa.2013.3603</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10)</w:t>
            </w:r>
            <w:r w:rsidRPr="00547C05">
              <w:rPr>
                <w:rFonts w:ascii="Arial" w:hAnsi="Arial" w:cs="Arial"/>
                <w:noProof/>
                <w:sz w:val="32"/>
                <w:szCs w:val="24"/>
              </w:rPr>
              <w:t xml:space="preserve">Mourougan, S., &amp; Sethuraman, D. K. (2017). Hypothesis Development and Testing. </w:t>
            </w:r>
            <w:r w:rsidRPr="00547C05">
              <w:rPr>
                <w:rFonts w:ascii="Arial" w:hAnsi="Arial" w:cs="Arial"/>
                <w:i/>
                <w:iCs/>
                <w:noProof/>
                <w:sz w:val="32"/>
                <w:szCs w:val="24"/>
              </w:rPr>
              <w:t>IOSR Journal of Business and Management</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(05), 34–40. https://doi.org/10.9790/487x-1905013440</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11)</w:t>
            </w:r>
            <w:r w:rsidRPr="00547C05">
              <w:rPr>
                <w:rFonts w:ascii="Arial" w:hAnsi="Arial" w:cs="Arial"/>
                <w:noProof/>
                <w:sz w:val="32"/>
                <w:szCs w:val="24"/>
              </w:rPr>
              <w:t xml:space="preserve">O., K., (Israel), B. A. (Ado); M. S. A., &amp; ADM/2016/230401/PG. (n.d.). </w:t>
            </w:r>
            <w:r w:rsidRPr="00547C05">
              <w:rPr>
                <w:rFonts w:ascii="Arial" w:hAnsi="Arial" w:cs="Arial"/>
                <w:i/>
                <w:iCs/>
                <w:noProof/>
                <w:sz w:val="32"/>
                <w:szCs w:val="24"/>
              </w:rPr>
              <w:t>12 HYPOTHESES AND HYPOTHESIS TESTING</w:t>
            </w:r>
            <w:r w:rsidRPr="00547C05">
              <w:rPr>
                <w:rFonts w:ascii="Arial" w:hAnsi="Arial" w:cs="Arial"/>
                <w:noProof/>
                <w:sz w:val="32"/>
                <w:szCs w:val="24"/>
              </w:rPr>
              <w:t>.</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12)</w:t>
            </w:r>
            <w:r w:rsidRPr="00547C05">
              <w:rPr>
                <w:rFonts w:ascii="Arial" w:hAnsi="Arial" w:cs="Arial"/>
                <w:noProof/>
                <w:sz w:val="32"/>
                <w:szCs w:val="24"/>
              </w:rPr>
              <w:t xml:space="preserve">Probability, I., Probability, C. C., &amp; Distributions, D. (2006). </w:t>
            </w:r>
            <w:r w:rsidRPr="00547C05">
              <w:rPr>
                <w:rFonts w:ascii="Arial" w:hAnsi="Arial" w:cs="Arial"/>
                <w:i/>
                <w:iCs/>
                <w:noProof/>
                <w:sz w:val="32"/>
                <w:szCs w:val="24"/>
              </w:rPr>
              <w:t>Introduction to Hypothesis Testing</w:t>
            </w:r>
            <w:r w:rsidRPr="00547C05">
              <w:rPr>
                <w:rFonts w:ascii="Arial" w:hAnsi="Arial" w:cs="Arial"/>
                <w:noProof/>
                <w:sz w:val="32"/>
                <w:szCs w:val="24"/>
              </w:rPr>
              <w:t xml:space="preserve">. </w:t>
            </w:r>
            <w:r w:rsidRPr="00547C05">
              <w:rPr>
                <w:rFonts w:ascii="Arial" w:hAnsi="Arial" w:cs="Arial"/>
                <w:i/>
                <w:iCs/>
                <w:noProof/>
                <w:sz w:val="32"/>
                <w:szCs w:val="24"/>
              </w:rPr>
              <w:t>1</w:t>
            </w:r>
            <w:r w:rsidRPr="00547C05">
              <w:rPr>
                <w:rFonts w:ascii="Arial" w:hAnsi="Arial" w:cs="Arial"/>
                <w:noProof/>
                <w:sz w:val="32"/>
                <w:szCs w:val="24"/>
              </w:rPr>
              <w:t>, 1–8. https://doi.org/10.1093/humupd/dmi031</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13)</w:t>
            </w:r>
            <w:r w:rsidRPr="00547C05">
              <w:rPr>
                <w:rFonts w:ascii="Arial" w:hAnsi="Arial" w:cs="Arial"/>
                <w:noProof/>
                <w:sz w:val="32"/>
                <w:szCs w:val="24"/>
              </w:rPr>
              <w:t xml:space="preserve">Toms, M. C. (2011). </w:t>
            </w:r>
            <w:r w:rsidRPr="00547C05">
              <w:rPr>
                <w:rFonts w:ascii="Arial" w:hAnsi="Arial" w:cs="Arial"/>
                <w:i/>
                <w:iCs/>
                <w:noProof/>
                <w:sz w:val="32"/>
                <w:szCs w:val="24"/>
              </w:rPr>
              <w:t>The Technical Analysis Method of Moving Average Trading: Rules That Reduce the Number of Losing Trades</w:t>
            </w:r>
            <w:r w:rsidRPr="00547C05">
              <w:rPr>
                <w:rFonts w:ascii="Arial" w:hAnsi="Arial" w:cs="Arial"/>
                <w:noProof/>
                <w:sz w:val="32"/>
                <w:szCs w:val="24"/>
              </w:rPr>
              <w:t xml:space="preserve">. </w:t>
            </w:r>
            <w:r w:rsidRPr="00547C05">
              <w:rPr>
                <w:rFonts w:ascii="Arial" w:hAnsi="Arial" w:cs="Arial"/>
                <w:i/>
                <w:iCs/>
                <w:noProof/>
                <w:sz w:val="32"/>
                <w:szCs w:val="24"/>
              </w:rPr>
              <w:t>August</w:t>
            </w:r>
            <w:r w:rsidRPr="00547C05">
              <w:rPr>
                <w:rFonts w:ascii="Arial" w:hAnsi="Arial" w:cs="Arial"/>
                <w:noProof/>
                <w:sz w:val="32"/>
                <w:szCs w:val="24"/>
              </w:rPr>
              <w:t>, 185.</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rPr>
            </w:pPr>
            <w:r>
              <w:rPr>
                <w:rFonts w:ascii="Arial" w:hAnsi="Arial" w:cs="Arial"/>
                <w:noProof/>
                <w:sz w:val="32"/>
                <w:szCs w:val="24"/>
              </w:rPr>
              <w:t>14)</w:t>
            </w:r>
            <w:r w:rsidRPr="00547C05">
              <w:rPr>
                <w:rFonts w:ascii="Arial" w:hAnsi="Arial" w:cs="Arial"/>
                <w:noProof/>
                <w:sz w:val="32"/>
                <w:szCs w:val="24"/>
              </w:rPr>
              <w:t xml:space="preserve">Walker, J. (2019). Hypothesis tests. </w:t>
            </w:r>
            <w:r w:rsidRPr="00547C05">
              <w:rPr>
                <w:rFonts w:ascii="Arial" w:hAnsi="Arial" w:cs="Arial"/>
                <w:i/>
                <w:iCs/>
                <w:noProof/>
                <w:sz w:val="32"/>
                <w:szCs w:val="24"/>
              </w:rPr>
              <w:t>BJA Education</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(7), 227–231. https://doi.org/10.1016/j.bjae.2019.03.006</w:t>
            </w:r>
          </w:p>
          <w:p w:rsidR="008D7E55" w:rsidRPr="00DB29D0" w:rsidRDefault="00A059DD" w:rsidP="00547C05">
            <w:pPr>
              <w:widowControl w:val="0"/>
              <w:autoSpaceDE w:val="0"/>
              <w:autoSpaceDN w:val="0"/>
              <w:adjustRightInd w:val="0"/>
              <w:spacing w:after="40" w:line="240" w:lineRule="auto"/>
              <w:ind w:left="480" w:hanging="480"/>
              <w:rPr>
                <w:rFonts w:ascii="Arial" w:hAnsi="Arial" w:cs="Arial"/>
                <w:sz w:val="32"/>
                <w:szCs w:val="32"/>
              </w:rPr>
            </w:pPr>
            <w:r w:rsidRPr="00547C05">
              <w:rPr>
                <w:rFonts w:ascii="Arial" w:hAnsi="Arial" w:cs="Arial"/>
                <w:sz w:val="32"/>
                <w:szCs w:val="32"/>
              </w:rPr>
              <w:fldChar w:fldCharType="end"/>
            </w:r>
          </w:p>
        </w:tc>
      </w:tr>
    </w:tbl>
    <w:p w:rsidR="00547C05" w:rsidRPr="00B84BCA" w:rsidRDefault="00547C05" w:rsidP="00547C05">
      <w:pPr>
        <w:spacing w:after="5"/>
        <w:rPr>
          <w:rFonts w:ascii="Arial" w:hAnsi="Arial" w:cs="Arial"/>
          <w:sz w:val="20"/>
          <w:szCs w:val="20"/>
        </w:rPr>
      </w:pPr>
    </w:p>
    <w:sectPr w:rsidR="00547C05" w:rsidRPr="00B84BCA" w:rsidSect="00F22009">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989" w:rsidRDefault="009B4989">
      <w:pPr>
        <w:spacing w:line="240" w:lineRule="auto"/>
      </w:pPr>
      <w:r>
        <w:separator/>
      </w:r>
    </w:p>
  </w:endnote>
  <w:endnote w:type="continuationSeparator" w:id="1">
    <w:p w:rsidR="009B4989" w:rsidRDefault="009B49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A059DD" w:rsidRPr="00A059DD">
      <w:fldChar w:fldCharType="begin"/>
    </w:r>
    <w:r>
      <w:instrText xml:space="preserve"> PAGE   \* MERGEFORMAT </w:instrText>
    </w:r>
    <w:r w:rsidR="00A059DD" w:rsidRPr="00A059DD">
      <w:fldChar w:fldCharType="separate"/>
    </w:r>
    <w:r>
      <w:rPr>
        <w:sz w:val="18"/>
      </w:rPr>
      <w:t>1</w:t>
    </w:r>
    <w:r w:rsidR="00A059DD">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A059DD" w:rsidRPr="00674CE2">
              <w:rPr>
                <w:rFonts w:ascii="Arial" w:hAnsi="Arial" w:cs="Arial"/>
                <w:bCs/>
                <w:sz w:val="18"/>
                <w:szCs w:val="18"/>
              </w:rPr>
              <w:fldChar w:fldCharType="separate"/>
            </w:r>
            <w:r w:rsidR="00D06DC9">
              <w:rPr>
                <w:rFonts w:ascii="Arial" w:hAnsi="Arial" w:cs="Arial"/>
                <w:bCs/>
                <w:noProof/>
                <w:sz w:val="18"/>
                <w:szCs w:val="18"/>
              </w:rPr>
              <w:t>1</w:t>
            </w:r>
            <w:r w:rsidR="00A059DD" w:rsidRPr="00674CE2">
              <w:rPr>
                <w:rFonts w:ascii="Arial" w:hAnsi="Arial" w:cs="Arial"/>
                <w:bCs/>
                <w:sz w:val="18"/>
                <w:szCs w:val="18"/>
              </w:rPr>
              <w:fldChar w:fldCharType="end"/>
            </w:r>
            <w:r w:rsidRPr="00674CE2">
              <w:rPr>
                <w:rFonts w:ascii="Arial" w:hAnsi="Arial" w:cs="Arial"/>
                <w:sz w:val="18"/>
                <w:szCs w:val="18"/>
              </w:rPr>
              <w:t xml:space="preserve"> of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A059DD" w:rsidRPr="00674CE2">
              <w:rPr>
                <w:rFonts w:ascii="Arial" w:hAnsi="Arial" w:cs="Arial"/>
                <w:bCs/>
                <w:sz w:val="18"/>
                <w:szCs w:val="18"/>
              </w:rPr>
              <w:fldChar w:fldCharType="separate"/>
            </w:r>
            <w:r w:rsidR="00D06DC9">
              <w:rPr>
                <w:rFonts w:ascii="Arial" w:hAnsi="Arial" w:cs="Arial"/>
                <w:bCs/>
                <w:noProof/>
                <w:sz w:val="18"/>
                <w:szCs w:val="18"/>
              </w:rPr>
              <w:t>7</w:t>
            </w:r>
            <w:r w:rsidR="00A059D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A059DD" w:rsidRPr="00A059DD">
      <w:fldChar w:fldCharType="begin"/>
    </w:r>
    <w:r>
      <w:instrText xml:space="preserve"> PAGE   \* MERGEFORMAT </w:instrText>
    </w:r>
    <w:r w:rsidR="00A059DD" w:rsidRPr="00A059DD">
      <w:fldChar w:fldCharType="separate"/>
    </w:r>
    <w:r>
      <w:rPr>
        <w:sz w:val="18"/>
      </w:rPr>
      <w:t>1</w:t>
    </w:r>
    <w:r w:rsidR="00A059DD">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989" w:rsidRDefault="009B4989">
      <w:pPr>
        <w:spacing w:line="240" w:lineRule="auto"/>
      </w:pPr>
      <w:r>
        <w:separator/>
      </w:r>
    </w:p>
  </w:footnote>
  <w:footnote w:type="continuationSeparator" w:id="1">
    <w:p w:rsidR="009B4989" w:rsidRDefault="009B498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059DD">
    <w:pPr>
      <w:spacing w:after="60"/>
      <w:ind w:left="3278" w:right="1167"/>
      <w:jc w:val="right"/>
    </w:pPr>
    <w:r>
      <w:rPr>
        <w:noProof/>
        <w:lang w:val="en-US" w:eastAsia="en-US"/>
      </w:rPr>
      <w:pict>
        <v:group id="Group 8962" o:spid="_x0000_s4102"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4106"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rsidR="00A250C4" w:rsidRDefault="00A250C4"/>
              </w:txbxContent>
            </v:textbox>
          </v:rect>
          <v:rect id="Rectangle 8965" o:spid="_x0000_s4105"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rsidR="00A250C4" w:rsidRDefault="00A250C4"/>
              </w:txbxContent>
            </v:textbox>
          </v:rect>
          <v:rect id="Rectangle 8966" o:spid="_x0000_s4104"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4103"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bookmarkStart w:id="0" w:name="_GoBack"/>
    <w:bookmarkEnd w:id="0"/>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059DD">
    <w:pPr>
      <w:spacing w:after="60"/>
      <w:ind w:left="3278" w:right="1167"/>
      <w:jc w:val="right"/>
    </w:pPr>
    <w:r>
      <w:rPr>
        <w:noProof/>
        <w:lang w:val="en-US" w:eastAsia="en-US"/>
      </w:rPr>
      <w:pict>
        <v:group id="Group 8820" o:spid="_x0000_s4097"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4101"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A250C4" w:rsidRDefault="00A250C4"/>
              </w:txbxContent>
            </v:textbox>
          </v:rect>
          <v:rect id="Rectangle 8823" o:spid="_x0000_s4100"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A250C4" w:rsidRDefault="00A250C4"/>
              </w:txbxContent>
            </v:textbox>
          </v:rect>
          <v:rect id="Rectangle 8824" o:spid="_x0000_s4099"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4098"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Ra1AJyTmxMsAAAA"/>
  </w:docVars>
  <w:rsids>
    <w:rsidRoot w:val="00A250C4"/>
    <w:rsid w:val="00037C6E"/>
    <w:rsid w:val="00043D8A"/>
    <w:rsid w:val="000524E1"/>
    <w:rsid w:val="000B4E5F"/>
    <w:rsid w:val="000B654F"/>
    <w:rsid w:val="001209E8"/>
    <w:rsid w:val="00133789"/>
    <w:rsid w:val="001479E6"/>
    <w:rsid w:val="00164797"/>
    <w:rsid w:val="0017311D"/>
    <w:rsid w:val="001D1434"/>
    <w:rsid w:val="001E59AC"/>
    <w:rsid w:val="001E7130"/>
    <w:rsid w:val="0021374D"/>
    <w:rsid w:val="002157C5"/>
    <w:rsid w:val="00232969"/>
    <w:rsid w:val="00237D86"/>
    <w:rsid w:val="00254CEF"/>
    <w:rsid w:val="002B3774"/>
    <w:rsid w:val="002D0F3F"/>
    <w:rsid w:val="002D420D"/>
    <w:rsid w:val="00331274"/>
    <w:rsid w:val="00343E4D"/>
    <w:rsid w:val="00357EBF"/>
    <w:rsid w:val="003651BB"/>
    <w:rsid w:val="00376F90"/>
    <w:rsid w:val="003D3678"/>
    <w:rsid w:val="003F016A"/>
    <w:rsid w:val="00450B99"/>
    <w:rsid w:val="0047107A"/>
    <w:rsid w:val="004D769A"/>
    <w:rsid w:val="00505FD8"/>
    <w:rsid w:val="00541E6E"/>
    <w:rsid w:val="00547C05"/>
    <w:rsid w:val="00581480"/>
    <w:rsid w:val="00581EC6"/>
    <w:rsid w:val="005A36A4"/>
    <w:rsid w:val="005A496A"/>
    <w:rsid w:val="00606A9E"/>
    <w:rsid w:val="006214C3"/>
    <w:rsid w:val="0063600F"/>
    <w:rsid w:val="00645D18"/>
    <w:rsid w:val="00646D63"/>
    <w:rsid w:val="00674CE2"/>
    <w:rsid w:val="00683D6E"/>
    <w:rsid w:val="00697556"/>
    <w:rsid w:val="00715122"/>
    <w:rsid w:val="00727344"/>
    <w:rsid w:val="00777C7B"/>
    <w:rsid w:val="00795804"/>
    <w:rsid w:val="007A41D6"/>
    <w:rsid w:val="007B34B0"/>
    <w:rsid w:val="007C20D1"/>
    <w:rsid w:val="007E3084"/>
    <w:rsid w:val="007F242B"/>
    <w:rsid w:val="008508E9"/>
    <w:rsid w:val="00854D1C"/>
    <w:rsid w:val="008560A3"/>
    <w:rsid w:val="00893EF8"/>
    <w:rsid w:val="008D7E55"/>
    <w:rsid w:val="009B4989"/>
    <w:rsid w:val="009E778B"/>
    <w:rsid w:val="009F51A3"/>
    <w:rsid w:val="009F62C0"/>
    <w:rsid w:val="00A059DD"/>
    <w:rsid w:val="00A15E62"/>
    <w:rsid w:val="00A250C4"/>
    <w:rsid w:val="00A37BDF"/>
    <w:rsid w:val="00A72A3C"/>
    <w:rsid w:val="00A75AD5"/>
    <w:rsid w:val="00A8401A"/>
    <w:rsid w:val="00AA0FB7"/>
    <w:rsid w:val="00AE7AE4"/>
    <w:rsid w:val="00B13F71"/>
    <w:rsid w:val="00B30B32"/>
    <w:rsid w:val="00B75907"/>
    <w:rsid w:val="00B84BCA"/>
    <w:rsid w:val="00BA62B1"/>
    <w:rsid w:val="00BB48ED"/>
    <w:rsid w:val="00C17B02"/>
    <w:rsid w:val="00C20791"/>
    <w:rsid w:val="00C313A4"/>
    <w:rsid w:val="00C83E00"/>
    <w:rsid w:val="00CC22DD"/>
    <w:rsid w:val="00D06DC9"/>
    <w:rsid w:val="00D243D5"/>
    <w:rsid w:val="00D55BEF"/>
    <w:rsid w:val="00D8337D"/>
    <w:rsid w:val="00D9604E"/>
    <w:rsid w:val="00DA7E07"/>
    <w:rsid w:val="00DB29D0"/>
    <w:rsid w:val="00DC65DB"/>
    <w:rsid w:val="00E2247E"/>
    <w:rsid w:val="00E2504E"/>
    <w:rsid w:val="00E30203"/>
    <w:rsid w:val="00E35A48"/>
    <w:rsid w:val="00E45024"/>
    <w:rsid w:val="00E740EE"/>
    <w:rsid w:val="00E86804"/>
    <w:rsid w:val="00E967CD"/>
    <w:rsid w:val="00F20B18"/>
    <w:rsid w:val="00F22009"/>
    <w:rsid w:val="00F41257"/>
    <w:rsid w:val="00FA74E1"/>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r="http://schemas.openxmlformats.org/officeDocument/2006/relationships" xmlns:w="http://schemas.openxmlformats.org/wordprocessingml/2006/main">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csc</cp:lastModifiedBy>
  <cp:revision>3</cp:revision>
  <dcterms:created xsi:type="dcterms:W3CDTF">2022-06-24T17:00:00Z</dcterms:created>
  <dcterms:modified xsi:type="dcterms:W3CDTF">2022-06-24T23:37:00Z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