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0C4" w:rsidRDefault="003F016A" w:rsidP="00043D8A">
      <w:r>
        <w:rPr>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65pt;margin-top:32.7pt;width:484pt;height:59.65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4ZeJAIAAEYEAAAOAAAAZHJzL2Uyb0RvYy54bWysU9tu2zAMfR+wfxD0vviCOGmNOEWXLsOA&#10;rhvQ7gNoWY6FyZImKbGzrx8lp2l2exmmB4EUqUPykFzdjL0kB26d0Kqi2SylhCumG6F2Ff3ytH1z&#10;RYnzoBqQWvGKHrmjN+vXr1aDKXmuOy0bbgmCKFcOpqKd96ZMEsc63oObacMVGltte/Co2l3SWBgQ&#10;vZdJnqaLZNC2MVYz7hy+3k1Guo74bcuZ/9S2jnsiK4q5+XjbeNfhTtYrKHcWTCfYKQ34hyx6EAqD&#10;nqHuwAPZW/EbVC+Y1U63fsZ0n+i2FYzHGrCaLP2lmscODI+1IDnOnGly/w+WPRw+WyKaiubZkhIF&#10;PTbpiY+evNUjyQM/g3Eluj0adPQjPmOfY63O3Gv21RGlNx2oHb+1Vg8dhwbzy8LP5OLrhOMCSD18&#10;1A2Ggb3XEWhsbR/IQzoIomOfjufehFQYPi6y+eIqRRND27JYFkURQ0D5/NtY599z3ZMgVNRi7yM6&#10;HO6dD9lA+ewSgjktRbMVUkbF7uqNtOQAOCfbeE7oP7lJRYaKXhd5MRHwV4g0nj9B9MLjwEvRVxTL&#10;wROcoAy0vVNNlD0IOcmYslQnHgN1E4l+rEd0DOTWujkio1ZPg42LiEKn7XdKBhzqirpve7CcEvlB&#10;YVeus/k8bEFU5sUyR8VeWupLCyiGUBX1lEzixsfNiYSZW+zeVkRiXzI55YrDGvk+LVbYhks9er2s&#10;//oHAAAA//8DAFBLAwQUAAYACAAAACEAKTSdet4AAAAKAQAADwAAAGRycy9kb3ducmV2LnhtbEyP&#10;wW7CMAxA75P2D5En7YIgZVDKuqZoQ+K0Ex27h8ZrqzVOlwQofz/vxI6Wn56fi81oe3FGHzpHCuaz&#10;BARS7UxHjYLDx266BhGiJqN7R6jgigE25f1doXPjLrTHcxUbwRIKuVbQxjjkUoa6RavDzA1IvPty&#10;3urIo2+k8frCctvLpyRZSas74gutHnDbYv1dnayC1U+1mLx/mgntr7s3X9vUbA+pUo8P4+sLiIhj&#10;vMHwl8/pUHLT0Z3IBNErmM6zBaMsS5cgGHhOkwzEkcn1MgNZFvL/C+UvAAAA//8DAFBLAQItABQA&#10;BgAIAAAAIQC2gziS/gAAAOEBAAATAAAAAAAAAAAAAAAAAAAAAABbQ29udGVudF9UeXBlc10ueG1s&#10;UEsBAi0AFAAGAAgAAAAhADj9If/WAAAAlAEAAAsAAAAAAAAAAAAAAAAALwEAAF9yZWxzLy5yZWxz&#10;UEsBAi0AFAAGAAgAAAAhABx/hl4kAgAARgQAAA4AAAAAAAAAAAAAAAAALgIAAGRycy9lMm9Eb2Mu&#10;eG1sUEsBAi0AFAAGAAgAAAAhACk0nXreAAAACgEAAA8AAAAAAAAAAAAAAAAAfgQAAGRycy9kb3du&#10;cmV2LnhtbFBLBQYAAAAABAAEAPMAAACJBQAAAAA=&#10;">
            <v:textbox style="mso-fit-shape-to-text:t">
              <w:txbxContent>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581480" w:rsidRPr="00A15E62">
                    <w:rPr>
                      <w:rFonts w:ascii="Times New Roman" w:hAnsi="Times New Roman" w:cs="Times New Roman"/>
                      <w:b/>
                      <w:sz w:val="24"/>
                      <w:szCs w:val="24"/>
                    </w:rPr>
                    <w:t>THIRD TRIMESTER</w:t>
                  </w:r>
                </w:p>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v:textbox>
            <w10:wrap type="square"/>
          </v:shape>
        </w:pict>
      </w:r>
    </w:p>
    <w:p w:rsidR="00A250C4" w:rsidRPr="00B84BCA" w:rsidRDefault="00A250C4" w:rsidP="00043D8A">
      <w:pPr>
        <w:spacing w:after="32" w:line="240" w:lineRule="auto"/>
        <w:rPr>
          <w:rFonts w:ascii="Arial" w:hAnsi="Arial" w:cs="Arial"/>
          <w:sz w:val="20"/>
          <w:szCs w:val="20"/>
        </w:rPr>
      </w:pPr>
    </w:p>
    <w:p w:rsidR="00F22009" w:rsidRPr="00B84BCA" w:rsidRDefault="00F22009" w:rsidP="00043D8A">
      <w:pPr>
        <w:spacing w:after="5"/>
        <w:rPr>
          <w:rFonts w:ascii="Arial" w:hAnsi="Arial" w:cs="Arial"/>
          <w:sz w:val="20"/>
          <w:szCs w:val="20"/>
        </w:rPr>
      </w:pPr>
    </w:p>
    <w:tbl>
      <w:tblPr>
        <w:tblStyle w:val="TableGrid"/>
        <w:tblW w:w="9781" w:type="dxa"/>
        <w:tblInd w:w="-147" w:type="dxa"/>
        <w:tblCellMar>
          <w:left w:w="108" w:type="dxa"/>
          <w:right w:w="115" w:type="dxa"/>
        </w:tblCellMar>
        <w:tblLook w:val="04A0"/>
      </w:tblPr>
      <w:tblGrid>
        <w:gridCol w:w="1990"/>
        <w:gridCol w:w="7791"/>
      </w:tblGrid>
      <w:tr w:rsidR="00F22009" w:rsidRPr="00B84BCA" w:rsidTr="00043D8A">
        <w:trPr>
          <w:trHeight w:val="548"/>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7791" w:type="dxa"/>
            <w:tcBorders>
              <w:top w:val="single" w:sz="4" w:space="0" w:color="000000"/>
              <w:left w:val="single" w:sz="4" w:space="0" w:color="000000"/>
              <w:bottom w:val="single" w:sz="4" w:space="0" w:color="000000"/>
              <w:right w:val="single" w:sz="4" w:space="0" w:color="000000"/>
            </w:tcBorders>
            <w:vAlign w:val="center"/>
          </w:tcPr>
          <w:p w:rsidR="00F41257" w:rsidRDefault="000B654F"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 xml:space="preserve"> </w:t>
            </w:r>
            <w:r w:rsidR="00E740EE">
              <w:rPr>
                <w:rFonts w:ascii="Arial" w:eastAsia="Arial Unicode MS" w:hAnsi="Arial" w:cs="Arial"/>
                <w:sz w:val="32"/>
                <w:szCs w:val="32"/>
              </w:rPr>
              <w:t>Trading</w:t>
            </w:r>
            <w:r w:rsidRPr="004D769A">
              <w:rPr>
                <w:rFonts w:ascii="Arial" w:eastAsia="Arial Unicode MS" w:hAnsi="Arial" w:cs="Arial"/>
                <w:sz w:val="32"/>
                <w:szCs w:val="32"/>
              </w:rPr>
              <w:t xml:space="preserve"> </w:t>
            </w:r>
            <w:r w:rsidR="00E740EE">
              <w:rPr>
                <w:rFonts w:ascii="Arial" w:eastAsia="Arial Unicode MS" w:hAnsi="Arial" w:cs="Arial"/>
                <w:sz w:val="32"/>
                <w:szCs w:val="32"/>
              </w:rPr>
              <w:t>Analytics for</w:t>
            </w:r>
            <w:r w:rsidRPr="004D769A">
              <w:rPr>
                <w:rFonts w:ascii="Arial" w:eastAsia="Arial Unicode MS" w:hAnsi="Arial" w:cs="Arial"/>
                <w:sz w:val="32"/>
                <w:szCs w:val="32"/>
              </w:rPr>
              <w:t xml:space="preserve"> </w:t>
            </w:r>
          </w:p>
          <w:p w:rsidR="000B654F" w:rsidRPr="004D769A" w:rsidRDefault="00E740EE" w:rsidP="000B654F">
            <w:pPr>
              <w:pStyle w:val="Heading1"/>
              <w:shd w:val="clear" w:color="auto" w:fill="FFFFFF"/>
              <w:spacing w:after="150" w:line="288" w:lineRule="atLeast"/>
              <w:outlineLvl w:val="0"/>
              <w:rPr>
                <w:rFonts w:ascii="Arial" w:eastAsia="Arial Unicode MS" w:hAnsi="Arial" w:cs="Arial"/>
                <w:sz w:val="32"/>
                <w:szCs w:val="32"/>
              </w:rPr>
            </w:pPr>
            <w:r>
              <w:rPr>
                <w:rFonts w:ascii="Arial" w:eastAsia="Arial Unicode MS" w:hAnsi="Arial" w:cs="Arial"/>
                <w:sz w:val="32"/>
                <w:szCs w:val="32"/>
              </w:rPr>
              <w:t>Day Trading</w:t>
            </w:r>
            <w:r w:rsidR="000B654F" w:rsidRPr="004D769A">
              <w:rPr>
                <w:rFonts w:ascii="Arial" w:eastAsia="Arial Unicode MS" w:hAnsi="Arial" w:cs="Arial"/>
                <w:sz w:val="32"/>
                <w:szCs w:val="32"/>
              </w:rPr>
              <w:t xml:space="preserve"> in Stock Market</w:t>
            </w:r>
          </w:p>
          <w:p w:rsidR="00F22009" w:rsidRPr="00A37BDF" w:rsidRDefault="00F22009" w:rsidP="008D7E55">
            <w:pPr>
              <w:rPr>
                <w:rFonts w:ascii="Arial" w:hAnsi="Arial" w:cs="Arial"/>
                <w:sz w:val="32"/>
                <w:szCs w:val="32"/>
              </w:rPr>
            </w:pPr>
          </w:p>
        </w:tc>
      </w:tr>
      <w:tr w:rsidR="00F22009" w:rsidRPr="00B84BCA" w:rsidTr="00043D8A">
        <w:trPr>
          <w:trHeight w:val="1639"/>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C313A4" w:rsidRPr="00F86B88" w:rsidRDefault="00C313A4" w:rsidP="00C313A4">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 xml:space="preserve">Majority of share market investment decisions are highly influenced by herd mentality. To avoid herd mentality, we should not blindly invest in </w:t>
            </w:r>
            <w:r>
              <w:rPr>
                <w:rFonts w:ascii="Arial" w:eastAsiaTheme="minorEastAsia" w:hAnsi="Arial" w:cs="Arial"/>
                <w:color w:val="auto"/>
                <w:sz w:val="32"/>
                <w:szCs w:val="32"/>
                <w:lang w:val="en-US"/>
              </w:rPr>
              <w:t>any stock</w:t>
            </w:r>
            <w:r w:rsidRPr="00F86B88">
              <w:rPr>
                <w:rFonts w:ascii="Arial" w:eastAsiaTheme="minorEastAsia" w:hAnsi="Arial" w:cs="Arial"/>
                <w:color w:val="auto"/>
                <w:sz w:val="32"/>
                <w:szCs w:val="32"/>
                <w:lang w:val="en-US"/>
              </w:rPr>
              <w:t xml:space="preserve"> based on what others are doing. </w:t>
            </w:r>
          </w:p>
          <w:p w:rsidR="00C313A4" w:rsidRDefault="00C313A4" w:rsidP="00C313A4">
            <w:pPr>
              <w:spacing w:after="33" w:line="240" w:lineRule="auto"/>
              <w:rPr>
                <w:rFonts w:ascii="Arial" w:eastAsiaTheme="minorEastAsia" w:hAnsi="Arial" w:cs="Arial"/>
                <w:color w:val="auto"/>
                <w:sz w:val="32"/>
                <w:szCs w:val="32"/>
                <w:lang w:val="en-US"/>
              </w:rPr>
            </w:pPr>
          </w:p>
          <w:p w:rsidR="00C313A4" w:rsidRPr="00F86B88" w:rsidRDefault="00C313A4" w:rsidP="00C313A4">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When mak</w:t>
            </w:r>
            <w:r>
              <w:rPr>
                <w:rFonts w:ascii="Arial" w:eastAsiaTheme="minorEastAsia" w:hAnsi="Arial" w:cs="Arial"/>
                <w:color w:val="auto"/>
                <w:sz w:val="32"/>
                <w:szCs w:val="32"/>
                <w:lang w:val="en-US"/>
              </w:rPr>
              <w:t>ing investments in Stocks</w:t>
            </w:r>
            <w:r w:rsidRPr="00F86B88">
              <w:rPr>
                <w:rFonts w:ascii="Arial" w:eastAsiaTheme="minorEastAsia" w:hAnsi="Arial" w:cs="Arial"/>
                <w:color w:val="auto"/>
                <w:sz w:val="32"/>
                <w:szCs w:val="32"/>
                <w:lang w:val="en-US"/>
              </w:rPr>
              <w:t>, we need to study the related factors more carefully. In some industries, data is not easily available and we need to put in extra efforts to find and evaluate data and make wiser decisions accordingly.</w:t>
            </w:r>
          </w:p>
          <w:p w:rsidR="00037C6E" w:rsidRDefault="00037C6E" w:rsidP="00043D8A">
            <w:pPr>
              <w:spacing w:after="33" w:line="240" w:lineRule="auto"/>
              <w:rPr>
                <w:rFonts w:ascii="Arial" w:eastAsiaTheme="minorEastAsia" w:hAnsi="Arial" w:cs="Arial"/>
                <w:color w:val="auto"/>
                <w:sz w:val="32"/>
                <w:szCs w:val="32"/>
                <w:lang w:val="en-US"/>
              </w:rPr>
            </w:pPr>
          </w:p>
          <w:p w:rsidR="007B34B0" w:rsidRDefault="007B34B0" w:rsidP="00043D8A">
            <w:pPr>
              <w:spacing w:after="33" w:line="240" w:lineRule="auto"/>
              <w:rPr>
                <w:rFonts w:ascii="Arial" w:eastAsiaTheme="minorEastAsia" w:hAnsi="Arial" w:cs="Arial"/>
                <w:color w:val="auto"/>
                <w:sz w:val="32"/>
                <w:szCs w:val="32"/>
                <w:lang w:val="en-US"/>
              </w:rPr>
            </w:pPr>
          </w:p>
          <w:p w:rsidR="00037C6E" w:rsidRPr="00A37BDF" w:rsidRDefault="00037C6E" w:rsidP="00037C6E">
            <w:pPr>
              <w:spacing w:after="33" w:line="240" w:lineRule="auto"/>
              <w:rPr>
                <w:rFonts w:ascii="Arial" w:hAnsi="Arial" w:cs="Arial"/>
                <w:i/>
                <w:color w:val="auto"/>
                <w:sz w:val="32"/>
                <w:szCs w:val="32"/>
              </w:rPr>
            </w:pPr>
          </w:p>
        </w:tc>
      </w:tr>
      <w:tr w:rsidR="00F22009" w:rsidRPr="00B84BCA" w:rsidTr="00043D8A">
        <w:trPr>
          <w:trHeight w:val="1123"/>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t>Statement of the Problem</w:t>
            </w:r>
          </w:p>
        </w:tc>
        <w:tc>
          <w:tcPr>
            <w:tcW w:w="7791" w:type="dxa"/>
            <w:tcBorders>
              <w:top w:val="single" w:sz="4" w:space="0" w:color="000000"/>
              <w:left w:val="single" w:sz="4" w:space="0" w:color="000000"/>
              <w:bottom w:val="single" w:sz="4" w:space="0" w:color="000000"/>
              <w:right w:val="single" w:sz="4" w:space="0" w:color="000000"/>
            </w:tcBorders>
            <w:vAlign w:val="center"/>
          </w:tcPr>
          <w:p w:rsidR="00AE7AE4" w:rsidRPr="00AE7AE4" w:rsidRDefault="00AE7AE4" w:rsidP="00AE7AE4">
            <w:pPr>
              <w:pStyle w:val="ListParagraph"/>
              <w:numPr>
                <w:ilvl w:val="0"/>
                <w:numId w:val="5"/>
              </w:numPr>
              <w:spacing w:after="33" w:line="240" w:lineRule="auto"/>
              <w:rPr>
                <w:rFonts w:ascii="Arial" w:hAnsi="Arial" w:cs="Arial"/>
                <w:sz w:val="32"/>
                <w:szCs w:val="32"/>
              </w:rPr>
            </w:pPr>
            <w:r w:rsidRPr="00AE7AE4">
              <w:rPr>
                <w:rFonts w:ascii="Arial" w:hAnsi="Arial" w:cs="Arial"/>
                <w:sz w:val="32"/>
                <w:szCs w:val="32"/>
              </w:rPr>
              <w:t xml:space="preserve">To design and carry out experiments using scientific methods, all formulated hypotheses must be valid. The validity of the theory has to be proved. There must be a possibility to refute the </w:t>
            </w:r>
            <w:r w:rsidRPr="00AE7AE4">
              <w:rPr>
                <w:rFonts w:ascii="Arial" w:hAnsi="Arial" w:cs="Arial"/>
                <w:sz w:val="32"/>
                <w:szCs w:val="32"/>
              </w:rPr>
              <w:lastRenderedPageBreak/>
              <w:t xml:space="preserve">theory. The result of the hypothesis must be valid. Without these requirements, hypotheses and results are ambiguous. </w:t>
            </w:r>
            <w:r w:rsidR="00FF396A" w:rsidRPr="00FF396A">
              <w:rPr>
                <w:rFonts w:ascii="Arial" w:hAnsi="Arial" w:cs="Arial"/>
                <w:sz w:val="32"/>
                <w:szCs w:val="32"/>
              </w:rPr>
              <w:t>Therefore, it is necessary to forecast buy and sell choices in the stock market using appropriate rule-based hypothesis testing models.</w:t>
            </w:r>
          </w:p>
          <w:p w:rsidR="00AE7AE4" w:rsidRPr="00AE7AE4" w:rsidRDefault="00AE7AE4" w:rsidP="00AE7AE4">
            <w:pPr>
              <w:pStyle w:val="ListParagraph"/>
              <w:spacing w:after="33" w:line="240" w:lineRule="auto"/>
              <w:ind w:left="360"/>
              <w:rPr>
                <w:rFonts w:ascii="Arial" w:hAnsi="Arial" w:cs="Arial"/>
                <w:sz w:val="32"/>
                <w:szCs w:val="32"/>
              </w:rPr>
            </w:pPr>
          </w:p>
          <w:p w:rsidR="0017311D" w:rsidRPr="00A37BDF" w:rsidRDefault="00AE7AE4" w:rsidP="00AE7AE4">
            <w:pPr>
              <w:pStyle w:val="ListParagraph"/>
              <w:numPr>
                <w:ilvl w:val="0"/>
                <w:numId w:val="5"/>
              </w:numPr>
              <w:spacing w:after="33" w:line="240" w:lineRule="auto"/>
              <w:rPr>
                <w:rFonts w:ascii="Arial" w:hAnsi="Arial" w:cs="Arial"/>
                <w:sz w:val="32"/>
                <w:szCs w:val="32"/>
              </w:rPr>
            </w:pPr>
            <w:r>
              <w:rPr>
                <w:rFonts w:ascii="Arial" w:hAnsi="Arial" w:cs="Arial"/>
                <w:sz w:val="32"/>
                <w:szCs w:val="32"/>
              </w:rPr>
              <w:t>I</w:t>
            </w:r>
            <w:r w:rsidRPr="00AE7AE4">
              <w:rPr>
                <w:rFonts w:ascii="Arial" w:hAnsi="Arial" w:cs="Arial"/>
                <w:sz w:val="32"/>
                <w:szCs w:val="32"/>
              </w:rPr>
              <w:t>t is also required to develop time-series techniques that use lag moving averages to smooth out time-series data so that these processes can be used in technical analysis to predict future securities prices.</w:t>
            </w:r>
          </w:p>
          <w:p w:rsidR="00F22009" w:rsidRPr="00A37BDF" w:rsidRDefault="00F22009" w:rsidP="0017311D">
            <w:pPr>
              <w:pStyle w:val="ListParagraph"/>
              <w:spacing w:after="33" w:line="240" w:lineRule="auto"/>
              <w:ind w:left="360"/>
              <w:rPr>
                <w:rFonts w:ascii="Arial" w:hAnsi="Arial" w:cs="Arial"/>
                <w:sz w:val="32"/>
                <w:szCs w:val="32"/>
              </w:rPr>
            </w:pPr>
          </w:p>
        </w:tc>
      </w:tr>
      <w:tr w:rsidR="00F22009" w:rsidRPr="00B84BCA" w:rsidTr="00043D8A">
        <w:trPr>
          <w:trHeight w:val="1725"/>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lastRenderedPageBreak/>
              <w:t>Proposed Solution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DA7E07" w:rsidRDefault="00DA7E07"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r w:rsidRPr="007E3084">
              <w:rPr>
                <w:rFonts w:ascii="Arial" w:hAnsi="Arial" w:cs="Arial"/>
                <w:sz w:val="32"/>
                <w:szCs w:val="32"/>
              </w:rPr>
              <w:t xml:space="preserve">A rule-based model is being developed to do hypothesis testing to determine whether the chosen stock's price is crossing any of the following moving averages: the 7-day, 13-day, 20-day, 100-day, and 200-day moving averages. </w:t>
            </w: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r w:rsidRPr="007E3084">
              <w:rPr>
                <w:rFonts w:ascii="Arial" w:hAnsi="Arial" w:cs="Arial"/>
                <w:sz w:val="32"/>
                <w:szCs w:val="32"/>
              </w:rPr>
              <w:t>It will be a purch</w:t>
            </w:r>
            <w:r>
              <w:rPr>
                <w:rFonts w:ascii="Arial" w:hAnsi="Arial" w:cs="Arial"/>
                <w:sz w:val="32"/>
                <w:szCs w:val="32"/>
              </w:rPr>
              <w:t xml:space="preserve">ase decision </w:t>
            </w:r>
            <w:r w:rsidRPr="007E3084">
              <w:rPr>
                <w:rFonts w:ascii="Arial" w:hAnsi="Arial" w:cs="Arial"/>
                <w:sz w:val="32"/>
                <w:szCs w:val="32"/>
              </w:rPr>
              <w:t xml:space="preserve">if the projection indicates that the value will be higher than various Moving Averages. </w:t>
            </w: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r w:rsidRPr="007E3084">
              <w:rPr>
                <w:rFonts w:ascii="Arial" w:hAnsi="Arial" w:cs="Arial"/>
                <w:sz w:val="32"/>
                <w:szCs w:val="32"/>
              </w:rPr>
              <w:t xml:space="preserve">Exponential Time series Models will be used to create the same five hypothesis testing models. </w:t>
            </w: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p>
          <w:p w:rsidR="00DA7E07" w:rsidRDefault="007E3084" w:rsidP="00DA7E07">
            <w:pPr>
              <w:spacing w:after="33" w:line="240" w:lineRule="auto"/>
              <w:jc w:val="both"/>
              <w:rPr>
                <w:rFonts w:ascii="Arial" w:hAnsi="Arial" w:cs="Arial"/>
                <w:sz w:val="32"/>
                <w:szCs w:val="32"/>
              </w:rPr>
            </w:pPr>
            <w:r w:rsidRPr="007E3084">
              <w:rPr>
                <w:rFonts w:ascii="Arial" w:hAnsi="Arial" w:cs="Arial"/>
                <w:sz w:val="32"/>
                <w:szCs w:val="32"/>
              </w:rPr>
              <w:t>After that, five further ARIMA-based time series models will be created to support our buy or sell recommendation for every stock.</w:t>
            </w:r>
          </w:p>
          <w:p w:rsidR="007E3084" w:rsidRDefault="007E3084" w:rsidP="00DA7E07">
            <w:pPr>
              <w:spacing w:after="33" w:line="240" w:lineRule="auto"/>
              <w:jc w:val="both"/>
              <w:rPr>
                <w:rFonts w:ascii="Arial" w:hAnsi="Arial" w:cs="Arial"/>
                <w:sz w:val="32"/>
                <w:szCs w:val="32"/>
              </w:rPr>
            </w:pPr>
          </w:p>
          <w:p w:rsidR="00DB29D0" w:rsidRPr="00DB29D0" w:rsidRDefault="007E3084" w:rsidP="00DB29D0">
            <w:pPr>
              <w:spacing w:after="33" w:line="240" w:lineRule="auto"/>
              <w:jc w:val="both"/>
              <w:rPr>
                <w:rFonts w:ascii="Arial" w:hAnsi="Arial" w:cs="Arial"/>
                <w:sz w:val="32"/>
                <w:szCs w:val="32"/>
              </w:rPr>
            </w:pPr>
            <w:r w:rsidRPr="007E3084">
              <w:rPr>
                <w:rFonts w:ascii="Arial" w:hAnsi="Arial" w:cs="Arial"/>
                <w:sz w:val="32"/>
                <w:szCs w:val="32"/>
              </w:rPr>
              <w:t>The idea is to determine how much profit, assuming $10,000 is invested in HDFC stock, will result from our forecasting outputs from these 15 various models.</w:t>
            </w:r>
          </w:p>
          <w:p w:rsidR="00BA62B1" w:rsidRPr="00A37BDF" w:rsidRDefault="00BA62B1" w:rsidP="00BA62B1">
            <w:pPr>
              <w:pStyle w:val="ListParagraph"/>
              <w:spacing w:after="33" w:line="240" w:lineRule="auto"/>
              <w:ind w:left="360"/>
              <w:jc w:val="both"/>
              <w:rPr>
                <w:rFonts w:ascii="Arial" w:hAnsi="Arial" w:cs="Arial"/>
                <w:sz w:val="32"/>
                <w:szCs w:val="32"/>
              </w:rPr>
            </w:pPr>
          </w:p>
        </w:tc>
      </w:tr>
      <w:tr w:rsidR="00F22009" w:rsidRPr="00B84BCA" w:rsidTr="00043D8A">
        <w:trPr>
          <w:trHeight w:val="2464"/>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7791" w:type="dxa"/>
            <w:tcBorders>
              <w:top w:val="single" w:sz="4" w:space="0" w:color="000000"/>
              <w:left w:val="single" w:sz="4" w:space="0" w:color="000000"/>
              <w:bottom w:val="single" w:sz="4" w:space="0" w:color="000000"/>
              <w:right w:val="single" w:sz="4" w:space="0" w:color="000000"/>
            </w:tcBorders>
            <w:vAlign w:val="center"/>
          </w:tcPr>
          <w:p w:rsid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HDFC excel data is put in Tabular form in step 1.</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2: The time series data is plotted for the HDFC stock that is provided as a dataset for the project for all ten years.</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The 7-day moving average time series data is added in step 3.</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4: The data for a 7-day moving average time series is being plotted.</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5: The data from a rolling 7-day moving average is included in the Data frame.</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lastRenderedPageBreak/>
              <w:t>Step 6: It is determined whether the closing price value on a certain prior day was lower or higher than the current 7-day moving average.</w:t>
            </w:r>
          </w:p>
          <w:p w:rsidR="008560A3" w:rsidRPr="008560A3" w:rsidRDefault="008560A3" w:rsidP="008560A3">
            <w:pPr>
              <w:pStyle w:val="ListParagraph"/>
              <w:autoSpaceDE w:val="0"/>
              <w:autoSpaceDN w:val="0"/>
              <w:adjustRightInd w:val="0"/>
              <w:spacing w:line="240" w:lineRule="auto"/>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If yesterday's closing price was below the 7-day moving average and the overall trend is upward, the stock price is likely to increase tomorrow.</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E35A48"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It will serve as the hypothesis testing rule. It is to be determined how frequently the price rise predicted by the hypothesis testing is the same as the actual price rise for the next day.</w:t>
            </w:r>
          </w:p>
          <w:p w:rsidR="003651BB" w:rsidRDefault="003651BB" w:rsidP="008560A3">
            <w:pPr>
              <w:pStyle w:val="ListParagraph"/>
              <w:autoSpaceDE w:val="0"/>
              <w:autoSpaceDN w:val="0"/>
              <w:adjustRightInd w:val="0"/>
              <w:spacing w:line="240" w:lineRule="auto"/>
              <w:ind w:left="0"/>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It is necessary to repeatedly verify the hypothesis testing rule's percentage accuracy. T-test can be used to perform hypothesis testing if the sample s</w:t>
            </w:r>
            <w:r w:rsidR="00795804">
              <w:rPr>
                <w:rFonts w:ascii="Arial" w:hAnsi="Arial" w:cs="Arial"/>
                <w:sz w:val="32"/>
                <w:szCs w:val="32"/>
              </w:rPr>
              <w:t>ize for testing is lesser</w:t>
            </w:r>
            <w:r w:rsidRPr="003651BB">
              <w:rPr>
                <w:rFonts w:ascii="Arial" w:hAnsi="Arial" w:cs="Arial"/>
                <w:sz w:val="32"/>
                <w:szCs w:val="32"/>
              </w:rPr>
              <w:t xml:space="preserve"> than 30 samples. Z-Test can be used to validate null and alternate hypothesis testing for samples larger than 30.</w:t>
            </w: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Step 7: The same step is performed for the moving averages of 13 days, 20 days, 100 days, and 200 days.</w:t>
            </w: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Step 8: Exponential Moving Average is used to recreate the five different models created using Simple Moving Average.</w:t>
            </w:r>
          </w:p>
          <w:p w:rsidR="003651BB" w:rsidRPr="003651BB" w:rsidRDefault="003651BB" w:rsidP="003651BB">
            <w:pPr>
              <w:pStyle w:val="ListParagraph"/>
              <w:autoSpaceDE w:val="0"/>
              <w:autoSpaceDN w:val="0"/>
              <w:adjustRightInd w:val="0"/>
              <w:spacing w:line="240" w:lineRule="auto"/>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lastRenderedPageBreak/>
              <w:t>Step 9: ARIMA Time series modelling is used to create an additional five different models.</w:t>
            </w: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The construction of all 15 models, as seen above, will be used to forecast day trading in the stock market.</w:t>
            </w:r>
          </w:p>
          <w:p w:rsid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Pr="00DB29D0"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When the ma</w:t>
            </w:r>
            <w:r>
              <w:rPr>
                <w:rFonts w:ascii="Arial" w:hAnsi="Arial" w:cs="Arial"/>
                <w:sz w:val="32"/>
                <w:szCs w:val="32"/>
              </w:rPr>
              <w:t xml:space="preserve">jority of the 15 various models or all of them </w:t>
            </w:r>
            <w:r w:rsidRPr="003651BB">
              <w:rPr>
                <w:rFonts w:ascii="Arial" w:hAnsi="Arial" w:cs="Arial"/>
                <w:sz w:val="32"/>
                <w:szCs w:val="32"/>
              </w:rPr>
              <w:t>move in the same direction, a choice on whether to purchase or sell the stock must be made. What works in the Indian stock market must be proven with evidence. Any stock on the stock market can utilise the same procedure to forecast buy or sell choices, which is helpful.</w:t>
            </w:r>
          </w:p>
          <w:p w:rsidR="00376F90" w:rsidRPr="00DB29D0" w:rsidRDefault="00376F90" w:rsidP="00376F90">
            <w:pPr>
              <w:pStyle w:val="ListParagraph"/>
              <w:autoSpaceDE w:val="0"/>
              <w:autoSpaceDN w:val="0"/>
              <w:adjustRightInd w:val="0"/>
              <w:spacing w:line="240" w:lineRule="auto"/>
              <w:ind w:left="0"/>
              <w:rPr>
                <w:rFonts w:ascii="Arial" w:hAnsi="Arial" w:cs="Arial"/>
                <w:sz w:val="32"/>
                <w:szCs w:val="32"/>
              </w:rPr>
            </w:pPr>
          </w:p>
          <w:p w:rsidR="00F22009" w:rsidRPr="00DB29D0" w:rsidRDefault="00F22009" w:rsidP="00E45024">
            <w:pPr>
              <w:pStyle w:val="ListParagraph"/>
              <w:autoSpaceDE w:val="0"/>
              <w:autoSpaceDN w:val="0"/>
              <w:adjustRightInd w:val="0"/>
              <w:spacing w:line="240" w:lineRule="auto"/>
              <w:ind w:left="0"/>
              <w:jc w:val="both"/>
              <w:rPr>
                <w:rFonts w:ascii="Arial" w:hAnsi="Arial" w:cs="Arial"/>
                <w:sz w:val="32"/>
                <w:szCs w:val="32"/>
              </w:rPr>
            </w:pPr>
          </w:p>
        </w:tc>
      </w:tr>
      <w:tr w:rsidR="00F22009" w:rsidRPr="00B84BCA" w:rsidTr="00043D8A">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Support needed from Program office</w:t>
            </w:r>
          </w:p>
        </w:tc>
        <w:tc>
          <w:tcPr>
            <w:tcW w:w="7791" w:type="dxa"/>
            <w:tcBorders>
              <w:top w:val="single" w:sz="4" w:space="0" w:color="000000"/>
              <w:left w:val="single" w:sz="4" w:space="0" w:color="000000"/>
              <w:bottom w:val="single" w:sz="4" w:space="0" w:color="000000"/>
              <w:right w:val="single" w:sz="4" w:space="0" w:color="000000"/>
            </w:tcBorders>
            <w:vAlign w:val="center"/>
          </w:tcPr>
          <w:p w:rsidR="00F22009" w:rsidRDefault="009F62C0" w:rsidP="00C17B02">
            <w:pPr>
              <w:spacing w:after="33" w:line="240" w:lineRule="auto"/>
              <w:jc w:val="both"/>
              <w:rPr>
                <w:rFonts w:ascii="Arial" w:hAnsi="Arial" w:cs="Arial"/>
                <w:sz w:val="32"/>
                <w:szCs w:val="32"/>
              </w:rPr>
            </w:pPr>
            <w:r>
              <w:rPr>
                <w:rFonts w:ascii="Arial" w:hAnsi="Arial" w:cs="Arial"/>
                <w:sz w:val="32"/>
                <w:szCs w:val="32"/>
              </w:rPr>
              <w:t xml:space="preserve">Program Office </w:t>
            </w: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Pr="00DB29D0" w:rsidRDefault="00DB29D0" w:rsidP="008D7E55">
            <w:pPr>
              <w:spacing w:after="33" w:line="240" w:lineRule="auto"/>
              <w:rPr>
                <w:rFonts w:ascii="Arial" w:hAnsi="Arial" w:cs="Arial"/>
                <w:sz w:val="32"/>
                <w:szCs w:val="32"/>
              </w:rPr>
            </w:pPr>
          </w:p>
        </w:tc>
      </w:tr>
      <w:tr w:rsidR="008D7E55" w:rsidRPr="00B84BCA" w:rsidTr="00043D8A">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t>References</w:t>
            </w:r>
          </w:p>
        </w:tc>
        <w:tc>
          <w:tcPr>
            <w:tcW w:w="7791" w:type="dxa"/>
            <w:tcBorders>
              <w:top w:val="single" w:sz="4" w:space="0" w:color="000000"/>
              <w:left w:val="single" w:sz="4" w:space="0" w:color="000000"/>
              <w:bottom w:val="single" w:sz="4" w:space="0" w:color="000000"/>
              <w:right w:val="single" w:sz="4" w:space="0" w:color="000000"/>
            </w:tcBorders>
            <w:vAlign w:val="center"/>
          </w:tcPr>
          <w:p w:rsidR="001D1434" w:rsidRPr="00DB29D0"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[1] Zelia Cazalet. and Thierry Roncalli (October 2014), Facts and Fantasies About Factor Investing</w:t>
            </w:r>
          </w:p>
          <w:p w:rsidR="001D1434" w:rsidRPr="00DB29D0" w:rsidRDefault="001D1434" w:rsidP="001D1434">
            <w:pPr>
              <w:pStyle w:val="Default"/>
              <w:rPr>
                <w:rFonts w:ascii="Arial" w:hAnsi="Arial" w:cs="Arial"/>
                <w:color w:val="auto"/>
                <w:sz w:val="28"/>
                <w:szCs w:val="28"/>
              </w:rPr>
            </w:pPr>
            <w:r w:rsidRPr="00DB29D0">
              <w:rPr>
                <w:rFonts w:ascii="Arial" w:hAnsi="Arial" w:cs="Arial"/>
                <w:color w:val="auto"/>
                <w:sz w:val="28"/>
                <w:szCs w:val="28"/>
              </w:rPr>
              <w:t xml:space="preserve">[2] </w:t>
            </w:r>
            <w:r w:rsidRPr="00DB29D0">
              <w:rPr>
                <w:rFonts w:ascii="Arial" w:hAnsi="Arial" w:cs="Arial"/>
                <w:bCs/>
                <w:color w:val="auto"/>
                <w:sz w:val="28"/>
                <w:szCs w:val="28"/>
              </w:rPr>
              <w:t xml:space="preserve">David Blitz and Milan Vidojevic </w:t>
            </w:r>
            <w:r w:rsidRPr="00DB29D0">
              <w:rPr>
                <w:rFonts w:ascii="Arial" w:hAnsi="Arial" w:cs="Arial"/>
                <w:color w:val="auto"/>
                <w:sz w:val="28"/>
                <w:szCs w:val="28"/>
              </w:rPr>
              <w:t>,</w:t>
            </w:r>
            <w:r w:rsidRPr="00DB29D0">
              <w:rPr>
                <w:rFonts w:ascii="Arial" w:hAnsi="Arial" w:cs="Arial"/>
                <w:bCs/>
                <w:color w:val="auto"/>
                <w:sz w:val="28"/>
                <w:szCs w:val="28"/>
              </w:rPr>
              <w:t>The Characteristics of Factor Investing</w:t>
            </w:r>
          </w:p>
          <w:p w:rsidR="001D1434" w:rsidRPr="00DB29D0"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 xml:space="preserve">[3] Andrew Ang (06-10-2013), </w:t>
            </w:r>
            <w:r w:rsidRPr="00DB29D0">
              <w:rPr>
                <w:rFonts w:ascii="Arial" w:eastAsiaTheme="minorEastAsia" w:hAnsi="Arial" w:cs="Arial"/>
                <w:bCs/>
                <w:color w:val="auto"/>
                <w:sz w:val="28"/>
                <w:szCs w:val="28"/>
                <w:lang w:val="en-US"/>
              </w:rPr>
              <w:t>Chapter 14: Factor Investing</w:t>
            </w:r>
          </w:p>
          <w:p w:rsidR="001D1434" w:rsidRPr="00DB29D0" w:rsidRDefault="001D1434" w:rsidP="001D1434">
            <w:pPr>
              <w:pStyle w:val="Default"/>
              <w:rPr>
                <w:rFonts w:ascii="Arial" w:hAnsi="Arial" w:cs="Arial"/>
                <w:sz w:val="28"/>
                <w:szCs w:val="28"/>
              </w:rPr>
            </w:pPr>
            <w:r w:rsidRPr="00DB29D0">
              <w:rPr>
                <w:rFonts w:ascii="Arial" w:hAnsi="Arial" w:cs="Arial"/>
                <w:color w:val="auto"/>
                <w:sz w:val="28"/>
                <w:szCs w:val="28"/>
              </w:rPr>
              <w:lastRenderedPageBreak/>
              <w:t xml:space="preserve">[4] </w:t>
            </w:r>
            <w:r w:rsidRPr="00DB29D0">
              <w:rPr>
                <w:rFonts w:ascii="Arial" w:hAnsi="Arial" w:cs="Arial"/>
                <w:bCs/>
                <w:sz w:val="28"/>
                <w:szCs w:val="28"/>
              </w:rPr>
              <w:t xml:space="preserve">An EDHEC-Risk Institute Publication </w:t>
            </w:r>
            <w:r w:rsidRPr="00DB29D0">
              <w:rPr>
                <w:rFonts w:ascii="Arial" w:hAnsi="Arial" w:cs="Arial"/>
                <w:color w:val="auto"/>
                <w:sz w:val="28"/>
                <w:szCs w:val="28"/>
              </w:rPr>
              <w:t xml:space="preserve"> (</w:t>
            </w:r>
            <w:r w:rsidRPr="00DB29D0">
              <w:rPr>
                <w:rFonts w:ascii="Arial" w:hAnsi="Arial" w:cs="Arial"/>
                <w:sz w:val="28"/>
                <w:szCs w:val="28"/>
              </w:rPr>
              <w:t>March 2020</w:t>
            </w:r>
            <w:r w:rsidRPr="00DB29D0">
              <w:rPr>
                <w:rFonts w:ascii="Arial" w:hAnsi="Arial" w:cs="Arial"/>
                <w:color w:val="auto"/>
                <w:sz w:val="28"/>
                <w:szCs w:val="28"/>
              </w:rPr>
              <w:t>),</w:t>
            </w:r>
            <w:r w:rsidRPr="00DB29D0">
              <w:rPr>
                <w:rFonts w:ascii="Arial" w:hAnsi="Arial" w:cs="Arial"/>
                <w:bCs/>
                <w:sz w:val="28"/>
                <w:szCs w:val="28"/>
              </w:rPr>
              <w:t>Factor Investing in Liability-Driven and Goal-Based Investment Solutions</w:t>
            </w:r>
          </w:p>
          <w:p w:rsidR="001D1434" w:rsidRPr="00DB29D0"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 xml:space="preserve">[5] </w:t>
            </w:r>
            <w:r w:rsidRPr="00DB29D0">
              <w:rPr>
                <w:rFonts w:ascii="Arial" w:hAnsi="Arial" w:cs="Arial"/>
                <w:sz w:val="28"/>
                <w:szCs w:val="28"/>
              </w:rPr>
              <w:t>Scott N. Pappas, CFA; Joel M. Dickson, Ph.D.</w:t>
            </w:r>
            <w:r w:rsidRPr="00DB29D0">
              <w:rPr>
                <w:rFonts w:ascii="Arial" w:eastAsiaTheme="minorEastAsia" w:hAnsi="Arial" w:cs="Arial"/>
                <w:color w:val="auto"/>
                <w:sz w:val="28"/>
                <w:szCs w:val="28"/>
                <w:lang w:val="en-US"/>
              </w:rPr>
              <w:t xml:space="preserve"> (</w:t>
            </w:r>
            <w:r w:rsidRPr="00DB29D0">
              <w:rPr>
                <w:rFonts w:ascii="Arial" w:hAnsi="Arial" w:cs="Arial"/>
                <w:sz w:val="28"/>
                <w:szCs w:val="28"/>
              </w:rPr>
              <w:t>April 2015</w:t>
            </w:r>
            <w:r w:rsidRPr="00DB29D0">
              <w:rPr>
                <w:rFonts w:ascii="Arial" w:eastAsiaTheme="minorEastAsia" w:hAnsi="Arial" w:cs="Arial"/>
                <w:color w:val="auto"/>
                <w:sz w:val="28"/>
                <w:szCs w:val="28"/>
                <w:lang w:val="en-US"/>
              </w:rPr>
              <w:t xml:space="preserve">), </w:t>
            </w:r>
            <w:r w:rsidRPr="00DB29D0">
              <w:rPr>
                <w:rFonts w:ascii="Arial" w:hAnsi="Arial" w:cs="Arial"/>
                <w:sz w:val="28"/>
                <w:szCs w:val="28"/>
              </w:rPr>
              <w:t>Factor-based investing</w:t>
            </w:r>
          </w:p>
          <w:p w:rsidR="001D1434" w:rsidRPr="00DB29D0"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 xml:space="preserve">[6] </w:t>
            </w:r>
            <w:r w:rsidRPr="00DB29D0">
              <w:rPr>
                <w:rFonts w:ascii="Arial" w:eastAsiaTheme="minorEastAsia" w:hAnsi="Arial" w:cs="Arial"/>
                <w:i/>
                <w:iCs/>
                <w:color w:val="auto"/>
                <w:sz w:val="28"/>
                <w:szCs w:val="28"/>
                <w:lang w:val="en-US"/>
              </w:rPr>
              <w:t>Douglas M. Grim, CFA; Scott N. Pappas, CFA; Ravi G. Tolani; Savas Kesidis</w:t>
            </w:r>
            <w:r w:rsidRPr="00DB29D0">
              <w:rPr>
                <w:rFonts w:ascii="Arial" w:eastAsiaTheme="minorEastAsia" w:hAnsi="Arial" w:cs="Arial"/>
                <w:color w:val="auto"/>
                <w:sz w:val="28"/>
                <w:szCs w:val="28"/>
                <w:lang w:val="en-US"/>
              </w:rPr>
              <w:t xml:space="preserve"> (April 2017), Equity factor-based investing: A practitioner’s guide</w:t>
            </w:r>
          </w:p>
          <w:p w:rsidR="001D1434" w:rsidRPr="00DB29D0" w:rsidRDefault="001D1434" w:rsidP="001D1434">
            <w:pPr>
              <w:pStyle w:val="Default"/>
              <w:rPr>
                <w:rFonts w:ascii="Arial" w:hAnsi="Arial" w:cs="Arial"/>
                <w:b/>
                <w:bCs/>
                <w:sz w:val="28"/>
                <w:szCs w:val="28"/>
              </w:rPr>
            </w:pPr>
            <w:r w:rsidRPr="00DB29D0">
              <w:rPr>
                <w:rFonts w:ascii="Arial" w:hAnsi="Arial" w:cs="Arial"/>
                <w:color w:val="auto"/>
                <w:sz w:val="28"/>
                <w:szCs w:val="28"/>
              </w:rPr>
              <w:t xml:space="preserve">[7] </w:t>
            </w:r>
            <w:r w:rsidRPr="00DB29D0">
              <w:rPr>
                <w:rFonts w:ascii="Arial" w:hAnsi="Arial" w:cs="Arial"/>
                <w:bCs/>
                <w:sz w:val="28"/>
                <w:szCs w:val="28"/>
              </w:rPr>
              <w:t xml:space="preserve">An EDHEC-Risk Institute Publication </w:t>
            </w:r>
            <w:r w:rsidRPr="00DB29D0">
              <w:rPr>
                <w:rFonts w:ascii="Arial" w:hAnsi="Arial" w:cs="Arial"/>
                <w:color w:val="auto"/>
                <w:sz w:val="28"/>
                <w:szCs w:val="28"/>
              </w:rPr>
              <w:t>(</w:t>
            </w:r>
            <w:r w:rsidRPr="00DB29D0">
              <w:rPr>
                <w:rFonts w:ascii="Arial" w:hAnsi="Arial" w:cs="Arial"/>
                <w:sz w:val="28"/>
                <w:szCs w:val="28"/>
              </w:rPr>
              <w:t>September 2020</w:t>
            </w:r>
            <w:r w:rsidRPr="00DB29D0">
              <w:rPr>
                <w:rFonts w:ascii="Arial" w:hAnsi="Arial" w:cs="Arial"/>
                <w:color w:val="auto"/>
                <w:sz w:val="28"/>
                <w:szCs w:val="28"/>
              </w:rPr>
              <w:t xml:space="preserve">), </w:t>
            </w:r>
            <w:r w:rsidRPr="00DB29D0">
              <w:rPr>
                <w:rFonts w:ascii="Arial" w:hAnsi="Arial" w:cs="Arial"/>
                <w:bCs/>
                <w:sz w:val="28"/>
                <w:szCs w:val="28"/>
              </w:rPr>
              <w:t>The EDHEC European ETF, Smart Beta and Factor Investing Survey</w:t>
            </w:r>
          </w:p>
          <w:p w:rsidR="001D1434" w:rsidRPr="00DB29D0" w:rsidRDefault="001D1434" w:rsidP="001D1434">
            <w:pPr>
              <w:autoSpaceDE w:val="0"/>
              <w:autoSpaceDN w:val="0"/>
              <w:adjustRightInd w:val="0"/>
              <w:spacing w:line="240" w:lineRule="auto"/>
              <w:rPr>
                <w:rFonts w:ascii="Arial" w:eastAsiaTheme="minorEastAsia" w:hAnsi="Arial" w:cs="Arial"/>
                <w:bCs/>
                <w:color w:val="auto"/>
                <w:sz w:val="28"/>
                <w:szCs w:val="28"/>
                <w:lang w:val="en-US"/>
              </w:rPr>
            </w:pPr>
            <w:r w:rsidRPr="00DB29D0">
              <w:rPr>
                <w:rFonts w:ascii="Arial" w:eastAsiaTheme="minorEastAsia" w:hAnsi="Arial" w:cs="Arial"/>
                <w:color w:val="auto"/>
                <w:sz w:val="28"/>
                <w:szCs w:val="28"/>
                <w:lang w:val="en-US"/>
              </w:rPr>
              <w:t xml:space="preserve">[8] </w:t>
            </w:r>
            <w:r w:rsidRPr="00DB29D0">
              <w:rPr>
                <w:rFonts w:ascii="Arial" w:eastAsiaTheme="minorEastAsia" w:hAnsi="Arial" w:cs="Arial"/>
                <w:bCs/>
                <w:color w:val="auto"/>
                <w:sz w:val="28"/>
                <w:szCs w:val="28"/>
                <w:lang w:val="en-US"/>
              </w:rPr>
              <w:t xml:space="preserve">An EDHEC-Risk Institute </w:t>
            </w:r>
            <w:r w:rsidRPr="00DB29D0">
              <w:rPr>
                <w:rFonts w:ascii="Arial" w:hAnsi="Arial" w:cs="Arial"/>
                <w:bCs/>
                <w:color w:val="auto"/>
                <w:sz w:val="28"/>
                <w:szCs w:val="28"/>
              </w:rPr>
              <w:t xml:space="preserve">Publication </w:t>
            </w:r>
            <w:r w:rsidRPr="00DB29D0">
              <w:rPr>
                <w:rFonts w:ascii="Arial" w:eastAsiaTheme="minorEastAsia" w:hAnsi="Arial" w:cs="Arial"/>
                <w:color w:val="auto"/>
                <w:sz w:val="28"/>
                <w:szCs w:val="28"/>
                <w:lang w:val="en-US"/>
              </w:rPr>
              <w:t xml:space="preserve">(September 2018), </w:t>
            </w:r>
            <w:r w:rsidRPr="00DB29D0">
              <w:rPr>
                <w:rFonts w:ascii="Arial" w:eastAsiaTheme="minorEastAsia" w:hAnsi="Arial" w:cs="Arial"/>
                <w:bCs/>
                <w:color w:val="auto"/>
                <w:sz w:val="28"/>
                <w:szCs w:val="28"/>
                <w:lang w:val="en-US"/>
              </w:rPr>
              <w:t>The EDHEC European ETF and Smart Beta and FactorInvesting Survey 2018</w:t>
            </w:r>
          </w:p>
          <w:p w:rsidR="001D1434" w:rsidRPr="00DB29D0" w:rsidRDefault="001D1434" w:rsidP="001D1434">
            <w:pPr>
              <w:spacing w:after="33" w:line="240" w:lineRule="auto"/>
              <w:rPr>
                <w:rFonts w:ascii="Arial" w:hAnsi="Arial" w:cs="Arial"/>
                <w:sz w:val="28"/>
                <w:szCs w:val="28"/>
              </w:rPr>
            </w:pPr>
            <w:r w:rsidRPr="00DB29D0">
              <w:rPr>
                <w:rFonts w:ascii="Arial" w:eastAsiaTheme="minorEastAsia" w:hAnsi="Arial" w:cs="Arial"/>
                <w:color w:val="auto"/>
                <w:sz w:val="28"/>
                <w:szCs w:val="28"/>
                <w:lang w:val="en-US"/>
              </w:rPr>
              <w:t xml:space="preserve">[9] </w:t>
            </w:r>
            <w:r w:rsidRPr="00DB29D0">
              <w:rPr>
                <w:rFonts w:ascii="Arial" w:eastAsiaTheme="minorEastAsia" w:hAnsi="Arial" w:cs="Arial"/>
                <w:bCs/>
                <w:color w:val="auto"/>
                <w:sz w:val="28"/>
                <w:szCs w:val="28"/>
                <w:lang w:val="en-US"/>
              </w:rPr>
              <w:t xml:space="preserve">An EDHEC-Risk Institute </w:t>
            </w:r>
            <w:r w:rsidRPr="00DB29D0">
              <w:rPr>
                <w:rFonts w:ascii="Arial" w:hAnsi="Arial" w:cs="Arial"/>
                <w:bCs/>
                <w:color w:val="auto"/>
                <w:sz w:val="28"/>
                <w:szCs w:val="28"/>
              </w:rPr>
              <w:t xml:space="preserve">Publication </w:t>
            </w:r>
            <w:r w:rsidRPr="00DB29D0">
              <w:rPr>
                <w:rFonts w:ascii="Arial" w:eastAsiaTheme="minorEastAsia" w:hAnsi="Arial" w:cs="Arial"/>
                <w:color w:val="auto"/>
                <w:sz w:val="28"/>
                <w:szCs w:val="28"/>
                <w:lang w:val="en-US"/>
              </w:rPr>
              <w:t xml:space="preserve">(September 2019), </w:t>
            </w:r>
            <w:r w:rsidRPr="00DB29D0">
              <w:rPr>
                <w:rFonts w:ascii="Arial" w:hAnsi="Arial" w:cs="Arial"/>
                <w:sz w:val="28"/>
                <w:szCs w:val="28"/>
              </w:rPr>
              <w:t xml:space="preserve">The EDHEC European ETF, Smart Beta and Factor Investing Survey 2019 </w:t>
            </w:r>
          </w:p>
          <w:p w:rsidR="001D1434" w:rsidRPr="00DB29D0" w:rsidRDefault="001D1434" w:rsidP="001D1434">
            <w:pPr>
              <w:spacing w:after="33" w:line="240" w:lineRule="auto"/>
              <w:rPr>
                <w:rFonts w:ascii="Arial" w:hAnsi="Arial" w:cs="Arial"/>
                <w:sz w:val="28"/>
                <w:szCs w:val="28"/>
              </w:rPr>
            </w:pPr>
            <w:r w:rsidRPr="00DB29D0">
              <w:rPr>
                <w:rFonts w:ascii="Arial" w:eastAsiaTheme="minorEastAsia" w:hAnsi="Arial" w:cs="Arial"/>
                <w:color w:val="auto"/>
                <w:sz w:val="28"/>
                <w:szCs w:val="28"/>
                <w:lang w:val="en-US"/>
              </w:rPr>
              <w:t xml:space="preserve">[10] </w:t>
            </w:r>
            <w:r w:rsidRPr="00DB29D0">
              <w:rPr>
                <w:rFonts w:ascii="Arial" w:eastAsiaTheme="minorEastAsia" w:hAnsi="Arial" w:cs="Arial"/>
                <w:bCs/>
                <w:color w:val="auto"/>
                <w:sz w:val="28"/>
                <w:szCs w:val="28"/>
                <w:lang w:val="en-US"/>
              </w:rPr>
              <w:t xml:space="preserve">An EDHEC-Risk Institute </w:t>
            </w:r>
            <w:r w:rsidRPr="00DB29D0">
              <w:rPr>
                <w:rFonts w:ascii="Arial" w:hAnsi="Arial" w:cs="Arial"/>
                <w:bCs/>
                <w:color w:val="auto"/>
                <w:sz w:val="28"/>
                <w:szCs w:val="28"/>
              </w:rPr>
              <w:t xml:space="preserve">Publication </w:t>
            </w:r>
            <w:r w:rsidRPr="00DB29D0">
              <w:rPr>
                <w:rFonts w:ascii="Arial" w:eastAsiaTheme="minorEastAsia" w:hAnsi="Arial" w:cs="Arial"/>
                <w:color w:val="auto"/>
                <w:sz w:val="28"/>
                <w:szCs w:val="28"/>
                <w:lang w:val="en-US"/>
              </w:rPr>
              <w:t xml:space="preserve">(February 2018), </w:t>
            </w:r>
            <w:r w:rsidRPr="00DB29D0">
              <w:rPr>
                <w:rFonts w:ascii="Arial" w:eastAsiaTheme="minorEastAsia" w:hAnsi="Arial" w:cs="Arial"/>
                <w:bCs/>
                <w:color w:val="auto"/>
                <w:sz w:val="28"/>
                <w:szCs w:val="28"/>
                <w:lang w:val="en-US"/>
              </w:rPr>
              <w:t>Smart Beta and Beyond: Maximizing the Benefits ofFactor Investing</w:t>
            </w:r>
          </w:p>
          <w:p w:rsidR="001D1434" w:rsidRPr="00DB29D0" w:rsidRDefault="001D1434" w:rsidP="001D1434">
            <w:pPr>
              <w:spacing w:after="33" w:line="240" w:lineRule="auto"/>
              <w:rPr>
                <w:rFonts w:ascii="Arial" w:hAnsi="Arial" w:cs="Arial"/>
                <w:sz w:val="28"/>
                <w:szCs w:val="28"/>
              </w:rPr>
            </w:pPr>
            <w:r w:rsidRPr="00DB29D0">
              <w:rPr>
                <w:rFonts w:ascii="Arial" w:eastAsiaTheme="minorEastAsia" w:hAnsi="Arial" w:cs="Arial"/>
                <w:color w:val="auto"/>
                <w:sz w:val="28"/>
                <w:szCs w:val="28"/>
                <w:lang w:val="en-US"/>
              </w:rPr>
              <w:t xml:space="preserve"> [11] </w:t>
            </w:r>
            <w:r w:rsidRPr="00DB29D0">
              <w:rPr>
                <w:rFonts w:ascii="Arial" w:eastAsiaTheme="minorEastAsia" w:hAnsi="Arial" w:cs="Arial"/>
                <w:bCs/>
                <w:color w:val="auto"/>
                <w:sz w:val="28"/>
                <w:szCs w:val="28"/>
                <w:lang w:val="en-US"/>
              </w:rPr>
              <w:t xml:space="preserve">EUGENE PODKAMINER </w:t>
            </w:r>
            <w:r w:rsidRPr="00DB29D0">
              <w:rPr>
                <w:rFonts w:ascii="Arial" w:eastAsiaTheme="minorEastAsia" w:hAnsi="Arial" w:cs="Arial"/>
                <w:color w:val="auto"/>
                <w:sz w:val="28"/>
                <w:szCs w:val="28"/>
                <w:lang w:val="en-US"/>
              </w:rPr>
              <w:t>(</w:t>
            </w:r>
            <w:r w:rsidR="001209E8" w:rsidRPr="00DB29D0">
              <w:rPr>
                <w:rFonts w:ascii="Arial" w:eastAsiaTheme="minorEastAsia" w:hAnsi="Arial" w:cs="Arial"/>
                <w:color w:val="auto"/>
                <w:sz w:val="28"/>
                <w:szCs w:val="28"/>
                <w:lang w:val="en-US"/>
              </w:rPr>
              <w:t>SUMMER 2015</w:t>
            </w:r>
            <w:r w:rsidRPr="00DB29D0">
              <w:rPr>
                <w:rFonts w:ascii="Arial" w:eastAsiaTheme="minorEastAsia" w:hAnsi="Arial" w:cs="Arial"/>
                <w:color w:val="auto"/>
                <w:sz w:val="28"/>
                <w:szCs w:val="28"/>
                <w:lang w:val="en-US"/>
              </w:rPr>
              <w:t xml:space="preserve"> Volume 24 Number 2), </w:t>
            </w:r>
            <w:r w:rsidRPr="00DB29D0">
              <w:rPr>
                <w:rFonts w:ascii="Arial" w:hAnsi="Arial" w:cs="Arial"/>
                <w:sz w:val="28"/>
                <w:szCs w:val="28"/>
              </w:rPr>
              <w:t>The Education of Beta: Can Alternative Indexes Make Your Portfolio Smarter?</w:t>
            </w:r>
          </w:p>
          <w:p w:rsidR="008D7E55" w:rsidRPr="00DB29D0" w:rsidRDefault="008D7E55" w:rsidP="008D7E55">
            <w:pPr>
              <w:spacing w:after="33" w:line="240" w:lineRule="auto"/>
              <w:rPr>
                <w:rFonts w:ascii="Arial" w:hAnsi="Arial" w:cs="Arial"/>
                <w:sz w:val="32"/>
                <w:szCs w:val="32"/>
              </w:rPr>
            </w:pPr>
          </w:p>
        </w:tc>
      </w:tr>
    </w:tbl>
    <w:p w:rsidR="00F22009" w:rsidRPr="00B84BCA" w:rsidRDefault="00F22009" w:rsidP="00043D8A">
      <w:pPr>
        <w:spacing w:after="5"/>
        <w:rPr>
          <w:rFonts w:ascii="Arial" w:hAnsi="Arial" w:cs="Arial"/>
          <w:sz w:val="20"/>
          <w:szCs w:val="20"/>
        </w:rPr>
      </w:pPr>
    </w:p>
    <w:p w:rsidR="00A250C4" w:rsidRPr="00B84BCA" w:rsidRDefault="00A250C4" w:rsidP="00043D8A">
      <w:pPr>
        <w:spacing w:after="5"/>
        <w:rPr>
          <w:rFonts w:ascii="Arial" w:hAnsi="Arial" w:cs="Arial"/>
          <w:sz w:val="20"/>
          <w:szCs w:val="20"/>
        </w:rPr>
      </w:pPr>
    </w:p>
    <w:p w:rsidR="00B84BCA" w:rsidRPr="00B84BCA" w:rsidRDefault="00B84BCA" w:rsidP="00043D8A">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sectPr w:rsidR="00B84BCA" w:rsidRPr="00B84BCA" w:rsidSect="00F22009">
      <w:headerReference w:type="even" r:id="rId7"/>
      <w:headerReference w:type="default" r:id="rId8"/>
      <w:footerReference w:type="even" r:id="rId9"/>
      <w:footerReference w:type="default" r:id="rId10"/>
      <w:headerReference w:type="first" r:id="rId11"/>
      <w:footerReference w:type="first" r:id="rId12"/>
      <w:pgSz w:w="12240" w:h="15840"/>
      <w:pgMar w:top="1440" w:right="1467" w:bottom="993" w:left="1418" w:header="28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D18" w:rsidRDefault="00645D18">
      <w:pPr>
        <w:spacing w:line="240" w:lineRule="auto"/>
      </w:pPr>
      <w:r>
        <w:separator/>
      </w:r>
    </w:p>
  </w:endnote>
  <w:endnote w:type="continuationSeparator" w:id="1">
    <w:p w:rsidR="00645D18" w:rsidRDefault="00645D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3F016A" w:rsidRPr="003F016A">
      <w:fldChar w:fldCharType="begin"/>
    </w:r>
    <w:r>
      <w:instrText xml:space="preserve"> PAGE   \* MERGEFORMAT </w:instrText>
    </w:r>
    <w:r w:rsidR="003F016A" w:rsidRPr="003F016A">
      <w:fldChar w:fldCharType="separate"/>
    </w:r>
    <w:r>
      <w:rPr>
        <w:sz w:val="18"/>
      </w:rPr>
      <w:t>1</w:t>
    </w:r>
    <w:r w:rsidR="003F016A">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szCs w:val="18"/>
      </w:rPr>
      <w:id w:val="1473016625"/>
      <w:docPartObj>
        <w:docPartGallery w:val="Page Numbers (Bottom of Page)"/>
        <w:docPartUnique/>
      </w:docPartObj>
    </w:sdtPr>
    <w:sdtContent>
      <w:sdt>
        <w:sdtPr>
          <w:rPr>
            <w:rFonts w:ascii="Arial" w:hAnsi="Arial" w:cs="Arial"/>
            <w:sz w:val="18"/>
            <w:szCs w:val="18"/>
          </w:rPr>
          <w:id w:val="1967160648"/>
          <w:docPartObj>
            <w:docPartGallery w:val="Page Numbers (Top of Page)"/>
            <w:docPartUnique/>
          </w:docPartObj>
        </w:sdtPr>
        <w:sdtContent>
          <w:p w:rsidR="00674CE2" w:rsidRPr="00674CE2" w:rsidRDefault="00674CE2" w:rsidP="00674CE2">
            <w:pPr>
              <w:pStyle w:val="Footer"/>
              <w:rPr>
                <w:rFonts w:ascii="Arial" w:hAnsi="Arial" w:cs="Arial"/>
                <w:sz w:val="18"/>
                <w:szCs w:val="18"/>
              </w:rPr>
            </w:pPr>
          </w:p>
          <w:p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3F016A"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3F016A" w:rsidRPr="00674CE2">
              <w:rPr>
                <w:rFonts w:ascii="Arial" w:hAnsi="Arial" w:cs="Arial"/>
                <w:bCs/>
                <w:sz w:val="18"/>
                <w:szCs w:val="18"/>
              </w:rPr>
              <w:fldChar w:fldCharType="separate"/>
            </w:r>
            <w:r w:rsidR="00795804">
              <w:rPr>
                <w:rFonts w:ascii="Arial" w:hAnsi="Arial" w:cs="Arial"/>
                <w:bCs/>
                <w:noProof/>
                <w:sz w:val="18"/>
                <w:szCs w:val="18"/>
              </w:rPr>
              <w:t>4</w:t>
            </w:r>
            <w:r w:rsidR="003F016A" w:rsidRPr="00674CE2">
              <w:rPr>
                <w:rFonts w:ascii="Arial" w:hAnsi="Arial" w:cs="Arial"/>
                <w:bCs/>
                <w:sz w:val="18"/>
                <w:szCs w:val="18"/>
              </w:rPr>
              <w:fldChar w:fldCharType="end"/>
            </w:r>
            <w:r w:rsidRPr="00674CE2">
              <w:rPr>
                <w:rFonts w:ascii="Arial" w:hAnsi="Arial" w:cs="Arial"/>
                <w:sz w:val="18"/>
                <w:szCs w:val="18"/>
              </w:rPr>
              <w:t xml:space="preserve"> of </w:t>
            </w:r>
            <w:r w:rsidR="003F016A"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3F016A" w:rsidRPr="00674CE2">
              <w:rPr>
                <w:rFonts w:ascii="Arial" w:hAnsi="Arial" w:cs="Arial"/>
                <w:bCs/>
                <w:sz w:val="18"/>
                <w:szCs w:val="18"/>
              </w:rPr>
              <w:fldChar w:fldCharType="separate"/>
            </w:r>
            <w:r w:rsidR="00795804">
              <w:rPr>
                <w:rFonts w:ascii="Arial" w:hAnsi="Arial" w:cs="Arial"/>
                <w:bCs/>
                <w:noProof/>
                <w:sz w:val="18"/>
                <w:szCs w:val="18"/>
              </w:rPr>
              <w:t>6</w:t>
            </w:r>
            <w:r w:rsidR="003F016A"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rsidR="00674CE2" w:rsidRPr="00674CE2" w:rsidRDefault="00674CE2" w:rsidP="00674CE2">
    <w:pPr>
      <w:pStyle w:val="Footer"/>
      <w:rPr>
        <w:rFonts w:ascii="Arial" w:hAnsi="Arial" w:cs="Arial"/>
        <w:sz w:val="18"/>
        <w:szCs w:val="18"/>
      </w:rPr>
    </w:pPr>
  </w:p>
  <w:p w:rsidR="00674CE2" w:rsidRDefault="00674CE2">
    <w:pPr>
      <w:pStyle w:val="Footer"/>
    </w:pPr>
  </w:p>
  <w:p w:rsidR="00A250C4" w:rsidRDefault="00A250C4">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3F016A" w:rsidRPr="003F016A">
      <w:fldChar w:fldCharType="begin"/>
    </w:r>
    <w:r>
      <w:instrText xml:space="preserve"> PAGE   \* MERGEFORMAT </w:instrText>
    </w:r>
    <w:r w:rsidR="003F016A" w:rsidRPr="003F016A">
      <w:fldChar w:fldCharType="separate"/>
    </w:r>
    <w:r>
      <w:rPr>
        <w:sz w:val="18"/>
      </w:rPr>
      <w:t>1</w:t>
    </w:r>
    <w:r w:rsidR="003F016A">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D18" w:rsidRDefault="00645D18">
      <w:pPr>
        <w:spacing w:line="240" w:lineRule="auto"/>
      </w:pPr>
      <w:r>
        <w:separator/>
      </w:r>
    </w:p>
  </w:footnote>
  <w:footnote w:type="continuationSeparator" w:id="1">
    <w:p w:rsidR="00645D18" w:rsidRDefault="00645D1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3F016A">
    <w:pPr>
      <w:spacing w:after="60"/>
      <w:ind w:left="3278" w:right="1167"/>
      <w:jc w:val="right"/>
    </w:pPr>
    <w:r>
      <w:rPr>
        <w:noProof/>
        <w:lang w:val="en-US" w:eastAsia="en-US"/>
      </w:rPr>
      <w:pict>
        <v:group id="Group 8962" o:spid="_x0000_s4102"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4106"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rsidR="00A250C4" w:rsidRDefault="00A250C4"/>
              </w:txbxContent>
            </v:textbox>
          </v:rect>
          <v:rect id="Rectangle 8965" o:spid="_x0000_s4105"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rsidR="00A250C4" w:rsidRDefault="00A250C4"/>
              </w:txbxContent>
            </v:textbox>
          </v:rect>
          <v:rect id="Rectangle 8966" o:spid="_x0000_s4104"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4103"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Pr="00B84BCA" w:rsidRDefault="00A250C4">
    <w:pPr>
      <w:spacing w:after="60"/>
      <w:ind w:left="3278" w:right="1167"/>
      <w:jc w:val="right"/>
      <w:rPr>
        <w:rFonts w:ascii="Arial" w:hAnsi="Arial" w:cs="Arial"/>
      </w:rPr>
    </w:pPr>
  </w:p>
  <w:p w:rsidR="00A250C4" w:rsidRPr="00B84BCA" w:rsidRDefault="00A250C4">
    <w:pPr>
      <w:spacing w:line="240" w:lineRule="auto"/>
      <w:rPr>
        <w:rFonts w:ascii="Arial" w:hAnsi="Arial" w:cs="Arial"/>
      </w:rPr>
    </w:pPr>
  </w:p>
  <w:p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rsidR="00B84BCA" w:rsidRDefault="00B84BCA" w:rsidP="00B84BCA">
    <w:pPr>
      <w:tabs>
        <w:tab w:val="center" w:pos="4344"/>
      </w:tabs>
      <w:spacing w:line="240" w:lineRule="auto"/>
      <w:jc w:val="center"/>
      <w:rPr>
        <w:rFonts w:ascii="Arial" w:hAnsi="Arial" w:cs="Arial"/>
      </w:rPr>
    </w:pPr>
  </w:p>
  <w:p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8508E9" w:rsidRDefault="008508E9" w:rsidP="00F22009">
    <w:pPr>
      <w:tabs>
        <w:tab w:val="center" w:pos="4344"/>
      </w:tabs>
      <w:jc w:val="center"/>
      <w:rPr>
        <w:rFonts w:ascii="Arial" w:hAnsi="Arial" w:cs="Arial"/>
        <w:b/>
        <w:color w:val="auto"/>
        <w:sz w:val="24"/>
        <w:szCs w:val="24"/>
      </w:rPr>
    </w:pPr>
  </w:p>
  <w:p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sidR="002D0F3F">
      <w:rPr>
        <w:rFonts w:ascii="Arial" w:hAnsi="Arial" w:cs="Arial"/>
        <w:b/>
        <w:color w:val="auto"/>
        <w:sz w:val="24"/>
        <w:szCs w:val="24"/>
      </w:rPr>
      <w:t>M/MBA</w:t>
    </w:r>
    <w:r w:rsidRPr="00F22009">
      <w:rPr>
        <w:rFonts w:ascii="Arial" w:hAnsi="Arial" w:cs="Arial"/>
        <w:b/>
        <w:color w:val="auto"/>
        <w:sz w:val="24"/>
        <w:szCs w:val="24"/>
      </w:rPr>
      <w:t xml:space="preserve"> in </w:t>
    </w:r>
    <w:r w:rsidR="002D0F3F">
      <w:rPr>
        <w:rFonts w:ascii="Arial" w:hAnsi="Arial" w:cs="Arial"/>
        <w:b/>
        <w:color w:val="auto"/>
        <w:sz w:val="24"/>
        <w:szCs w:val="24"/>
      </w:rPr>
      <w:t>Business Analytics</w:t>
    </w:r>
  </w:p>
  <w:p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bookmarkStart w:id="0" w:name="_GoBack"/>
    <w:bookmarkEnd w:id="0"/>
  </w:p>
  <w:p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3F016A">
    <w:pPr>
      <w:spacing w:after="60"/>
      <w:ind w:left="3278" w:right="1167"/>
      <w:jc w:val="right"/>
    </w:pPr>
    <w:r>
      <w:rPr>
        <w:noProof/>
        <w:lang w:val="en-US" w:eastAsia="en-US"/>
      </w:rPr>
      <w:pict>
        <v:group id="Group 8820" o:spid="_x0000_s4097"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4101"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rsidR="00A250C4" w:rsidRDefault="00A250C4"/>
              </w:txbxContent>
            </v:textbox>
          </v:rect>
          <v:rect id="Rectangle 8823" o:spid="_x0000_s4100"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rsidR="00A250C4" w:rsidRDefault="00A250C4"/>
              </w:txbxContent>
            </v:textbox>
          </v:rect>
          <v:rect id="Rectangle 8824" o:spid="_x0000_s4099"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4098"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10"/>
  </w:num>
  <w:num w:numId="8">
    <w:abstractNumId w:val="3"/>
  </w:num>
  <w:num w:numId="9">
    <w:abstractNumId w:val="2"/>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0NDU0AVKmhobmlhYGRko6SsGpxcWZ+XkgBRa1AJyTmxMsAAAA"/>
  </w:docVars>
  <w:rsids>
    <w:rsidRoot w:val="00A250C4"/>
    <w:rsid w:val="00037C6E"/>
    <w:rsid w:val="00043D8A"/>
    <w:rsid w:val="000524E1"/>
    <w:rsid w:val="000B4E5F"/>
    <w:rsid w:val="000B654F"/>
    <w:rsid w:val="001209E8"/>
    <w:rsid w:val="00133789"/>
    <w:rsid w:val="001479E6"/>
    <w:rsid w:val="00164797"/>
    <w:rsid w:val="0017311D"/>
    <w:rsid w:val="001D1434"/>
    <w:rsid w:val="001E59AC"/>
    <w:rsid w:val="001E7130"/>
    <w:rsid w:val="0021374D"/>
    <w:rsid w:val="002157C5"/>
    <w:rsid w:val="00232969"/>
    <w:rsid w:val="002B3774"/>
    <w:rsid w:val="002D0F3F"/>
    <w:rsid w:val="002D420D"/>
    <w:rsid w:val="00331274"/>
    <w:rsid w:val="00343E4D"/>
    <w:rsid w:val="00357EBF"/>
    <w:rsid w:val="003651BB"/>
    <w:rsid w:val="00376F90"/>
    <w:rsid w:val="003D3678"/>
    <w:rsid w:val="003F016A"/>
    <w:rsid w:val="00450B99"/>
    <w:rsid w:val="0047107A"/>
    <w:rsid w:val="004D769A"/>
    <w:rsid w:val="00505FD8"/>
    <w:rsid w:val="00541E6E"/>
    <w:rsid w:val="00581480"/>
    <w:rsid w:val="00581EC6"/>
    <w:rsid w:val="005A36A4"/>
    <w:rsid w:val="005A496A"/>
    <w:rsid w:val="00606A9E"/>
    <w:rsid w:val="006214C3"/>
    <w:rsid w:val="0063600F"/>
    <w:rsid w:val="00645D18"/>
    <w:rsid w:val="00646D63"/>
    <w:rsid w:val="00674CE2"/>
    <w:rsid w:val="00683D6E"/>
    <w:rsid w:val="00697556"/>
    <w:rsid w:val="00715122"/>
    <w:rsid w:val="00727344"/>
    <w:rsid w:val="00777C7B"/>
    <w:rsid w:val="00795804"/>
    <w:rsid w:val="007A41D6"/>
    <w:rsid w:val="007B34B0"/>
    <w:rsid w:val="007C20D1"/>
    <w:rsid w:val="007E3084"/>
    <w:rsid w:val="008508E9"/>
    <w:rsid w:val="008560A3"/>
    <w:rsid w:val="00893EF8"/>
    <w:rsid w:val="008D7E55"/>
    <w:rsid w:val="009E778B"/>
    <w:rsid w:val="009F51A3"/>
    <w:rsid w:val="009F62C0"/>
    <w:rsid w:val="00A15E62"/>
    <w:rsid w:val="00A250C4"/>
    <w:rsid w:val="00A37BDF"/>
    <w:rsid w:val="00A72A3C"/>
    <w:rsid w:val="00A75AD5"/>
    <w:rsid w:val="00A8401A"/>
    <w:rsid w:val="00AA0FB7"/>
    <w:rsid w:val="00AE7AE4"/>
    <w:rsid w:val="00B13F71"/>
    <w:rsid w:val="00B30B32"/>
    <w:rsid w:val="00B75907"/>
    <w:rsid w:val="00B84BCA"/>
    <w:rsid w:val="00BA62B1"/>
    <w:rsid w:val="00BB48ED"/>
    <w:rsid w:val="00C17B02"/>
    <w:rsid w:val="00C313A4"/>
    <w:rsid w:val="00C83E00"/>
    <w:rsid w:val="00D243D5"/>
    <w:rsid w:val="00D55BEF"/>
    <w:rsid w:val="00D9604E"/>
    <w:rsid w:val="00DA7E07"/>
    <w:rsid w:val="00DB29D0"/>
    <w:rsid w:val="00DC65DB"/>
    <w:rsid w:val="00E2247E"/>
    <w:rsid w:val="00E2504E"/>
    <w:rsid w:val="00E30203"/>
    <w:rsid w:val="00E35A48"/>
    <w:rsid w:val="00E45024"/>
    <w:rsid w:val="00E740EE"/>
    <w:rsid w:val="00E86804"/>
    <w:rsid w:val="00E967CD"/>
    <w:rsid w:val="00F20B18"/>
    <w:rsid w:val="00F22009"/>
    <w:rsid w:val="00F41257"/>
    <w:rsid w:val="00FA74E1"/>
    <w:rsid w:val="00FF396A"/>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EF8"/>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893EF8"/>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893EF8"/>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93EF8"/>
    <w:rPr>
      <w:rFonts w:ascii="Calibri" w:eastAsia="Calibri" w:hAnsi="Calibri" w:cs="Calibri"/>
      <w:i/>
      <w:color w:val="000000"/>
      <w:sz w:val="18"/>
    </w:rPr>
  </w:style>
  <w:style w:type="character" w:customStyle="1" w:styleId="Heading1Char">
    <w:name w:val="Heading 1 Char"/>
    <w:link w:val="Heading1"/>
    <w:rsid w:val="00893EF8"/>
    <w:rPr>
      <w:rFonts w:ascii="Calibri" w:eastAsia="Calibri" w:hAnsi="Calibri" w:cs="Calibri"/>
      <w:b/>
      <w:color w:val="000000"/>
      <w:sz w:val="28"/>
    </w:rPr>
  </w:style>
  <w:style w:type="table" w:customStyle="1" w:styleId="TableGrid">
    <w:name w:val="TableGrid"/>
    <w:rsid w:val="00893EF8"/>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18"/>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webSettings.xml><?xml version="1.0" encoding="utf-8"?>
<w:webSettings xmlns:r="http://schemas.openxmlformats.org/officeDocument/2006/relationships" xmlns:w="http://schemas.openxmlformats.org/wordprocessingml/2006/main">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csc</cp:lastModifiedBy>
  <cp:revision>141</cp:revision>
  <dcterms:created xsi:type="dcterms:W3CDTF">2021-04-15T09:04:00Z</dcterms:created>
  <dcterms:modified xsi:type="dcterms:W3CDTF">2022-06-24T15:02:00Z</dcterms:modified>
</cp:coreProperties>
</file>