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r w:rsidRPr="000C1300">
        <w:fldChar w:fldCharType="begin"/>
      </w:r>
      <w:r w:rsidR="00A744FE" w:rsidRPr="009D35D3">
        <w:instrText xml:space="preserve"> TOC \o "1-3" \h \z \u </w:instrText>
      </w:r>
      <w:r w:rsidRPr="000C1300">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0C1300"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0C1300">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0C1300">
        <w:fldChar w:fldCharType="separate"/>
      </w:r>
      <w:r w:rsidRPr="007519C9">
        <w:rPr>
          <w:noProof/>
        </w:rPr>
        <w:t>(Huang et al., 2021)</w:t>
      </w:r>
      <w:r w:rsidR="000C1300">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0C1300">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0C1300">
        <w:rPr>
          <w:rFonts w:eastAsia="Calibri"/>
          <w:lang w:val="en-US" w:eastAsia="en-US"/>
        </w:rPr>
        <w:fldChar w:fldCharType="separate"/>
      </w:r>
      <w:r w:rsidRPr="007519C9">
        <w:rPr>
          <w:rFonts w:eastAsia="Calibri"/>
          <w:noProof/>
          <w:lang w:val="en-US" w:eastAsia="en-US"/>
        </w:rPr>
        <w:t>(Shah et al., 2019)</w:t>
      </w:r>
      <w:r w:rsidR="000C1300">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0C1300">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0C1300">
        <w:fldChar w:fldCharType="separate"/>
      </w:r>
      <w:r w:rsidR="00F84876" w:rsidRPr="007519C9">
        <w:rPr>
          <w:noProof/>
        </w:rPr>
        <w:t>(Sonkiya et al., 2021)</w:t>
      </w:r>
      <w:r w:rsidR="000C1300">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0C1300">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0C1300">
        <w:fldChar w:fldCharType="separate"/>
      </w:r>
      <w:r w:rsidR="00F84876" w:rsidRPr="00A07732">
        <w:rPr>
          <w:noProof/>
        </w:rPr>
        <w:t>(Rouf et al., 2021)</w:t>
      </w:r>
      <w:r w:rsidR="000C1300">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0C1300">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color w:val="202020"/>
          <w:shd w:val="clear" w:color="auto" w:fill="FFFFFF"/>
        </w:rPr>
        <w:fldChar w:fldCharType="separate"/>
      </w:r>
      <w:r w:rsidRPr="00175CC6">
        <w:rPr>
          <w:noProof/>
          <w:color w:val="202020"/>
          <w:shd w:val="clear" w:color="auto" w:fill="FFFFFF"/>
        </w:rPr>
        <w:t>(Cornellius Yudha Wijaya, 2021)</w:t>
      </w:r>
      <w:r w:rsidR="000C1300">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0C1300">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rFonts w:cstheme="minorHAnsi"/>
          <w:sz w:val="16"/>
          <w:szCs w:val="16"/>
        </w:rPr>
        <w:fldChar w:fldCharType="separate"/>
      </w:r>
      <w:r w:rsidR="00570F87" w:rsidRPr="00570F87">
        <w:rPr>
          <w:rFonts w:cstheme="minorHAnsi"/>
          <w:noProof/>
          <w:sz w:val="16"/>
          <w:szCs w:val="16"/>
        </w:rPr>
        <w:t>(Cornellius Yudha Wijaya, 2021)</w:t>
      </w:r>
      <w:r w:rsidR="000C1300">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0C1300">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rStyle w:val="Heading2Char"/>
          <w:b w:val="0"/>
          <w:bCs w:val="0"/>
          <w:sz w:val="16"/>
          <w:szCs w:val="16"/>
        </w:rPr>
        <w:fldChar w:fldCharType="separate"/>
      </w:r>
      <w:r w:rsidR="001225C9" w:rsidRPr="001225C9">
        <w:rPr>
          <w:rStyle w:val="Heading2Char"/>
          <w:b w:val="0"/>
          <w:bCs w:val="0"/>
          <w:noProof/>
          <w:sz w:val="16"/>
          <w:szCs w:val="16"/>
        </w:rPr>
        <w:t>(moneycontrol, 2023)</w:t>
      </w:r>
      <w:r w:rsidR="000C1300">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0C1300">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fldChar w:fldCharType="separate"/>
      </w:r>
      <w:r w:rsidR="001225C9" w:rsidRPr="001225C9">
        <w:rPr>
          <w:noProof/>
        </w:rPr>
        <w:t>(moneycontrol, 2023)</w:t>
      </w:r>
      <w:r w:rsidR="000C1300">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0C1300">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b/>
          <w:bCs/>
        </w:rPr>
        <w:fldChar w:fldCharType="separate"/>
      </w:r>
      <w:r w:rsidR="001225C9" w:rsidRPr="001225C9">
        <w:rPr>
          <w:bCs/>
          <w:noProof/>
        </w:rPr>
        <w:t>(moneycontrol, 2023)</w:t>
      </w:r>
      <w:r w:rsidR="000C1300">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m:t>
          </m:r>
          <m:r>
            <w:rPr>
              <w:rFonts w:ascii="Cambria Math" w:hAnsi="Cambria Math"/>
              <w:sz w:val="20"/>
              <w:szCs w:val="20"/>
              <w:lang w:val="en-US"/>
            </w:rPr>
            <m:t>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sidR="00610867">
        <w:rPr>
          <w:lang w:val="en-US"/>
        </w:rPr>
        <w:t xml:space="preserve">of 0.75 </w:t>
      </w:r>
      <w:r>
        <w:rPr>
          <w:lang w:val="en-US"/>
        </w:rPr>
        <w:t>for KOTAK BANK stock, the confusion matrix provides information as</w:t>
      </w:r>
      <w:r w:rsidR="00A86B3F">
        <w:rPr>
          <w:lang w:val="en-US"/>
        </w:rPr>
        <w:t xml:space="preserve"> shown in Fig 11.2 below:</w:t>
      </w:r>
    </w:p>
    <w:p w:rsidR="00EB37E4" w:rsidRDefault="00610867" w:rsidP="00610867">
      <w:pPr>
        <w:jc w:val="center"/>
        <w:rPr>
          <w:lang w:val="en-US"/>
        </w:rPr>
      </w:pPr>
      <w:r>
        <w:rPr>
          <w:noProof/>
          <w:lang w:val="en-US" w:eastAsia="en-US"/>
        </w:rPr>
        <w:drawing>
          <wp:inline distT="0" distB="0" distL="0" distR="0">
            <wp:extent cx="2617058" cy="180532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623792" cy="1809965"/>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610867" w:rsidP="00EB37E4">
      <w:pPr>
        <w:jc w:val="both"/>
        <w:rPr>
          <w:lang w:val="en-US"/>
        </w:rPr>
      </w:pPr>
      <w:r>
        <w:rPr>
          <w:lang w:val="en-US"/>
        </w:rPr>
        <w:t>0.5*10000*258*0.75</w:t>
      </w:r>
      <w:r w:rsidR="00EB37E4" w:rsidRPr="00F46003">
        <w:rPr>
          <w:lang w:val="en-US"/>
        </w:rPr>
        <w:t>/100</w:t>
      </w:r>
      <w:r>
        <w:rPr>
          <w:lang w:val="en-US"/>
        </w:rPr>
        <w:t>-0.5*10000*87*0.75</w:t>
      </w:r>
      <w:r w:rsidR="00EB37E4" w:rsidRPr="00F46003">
        <w:rPr>
          <w:lang w:val="en-US"/>
        </w:rPr>
        <w:t>/100=Rs.</w:t>
      </w:r>
      <w:r>
        <w:rPr>
          <w:lang w:val="en-US"/>
        </w:rPr>
        <w:t>6502.5</w:t>
      </w:r>
      <w:r w:rsidR="00EB37E4" w:rsidRPr="00F46003">
        <w:rPr>
          <w:lang w:val="en-US"/>
        </w:rPr>
        <w:t xml:space="preserve"> profit which would be </w:t>
      </w:r>
      <w:r>
        <w:rPr>
          <w:lang w:val="en-US"/>
        </w:rPr>
        <w:t>6502.5</w:t>
      </w:r>
      <w:r w:rsidR="00EB37E4" w:rsidRPr="00F46003">
        <w:rPr>
          <w:lang w:val="en-US"/>
        </w:rPr>
        <w:t>/</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10.84</w:t>
      </w:r>
      <w:r w:rsidR="00EB37E4"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0C1300"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0C1300" w:rsidP="00B35547">
              <w:pPr>
                <w:widowControl w:val="0"/>
                <w:autoSpaceDE w:val="0"/>
                <w:autoSpaceDN w:val="0"/>
                <w:adjustRightInd w:val="0"/>
                <w:ind w:left="480" w:hanging="480"/>
              </w:pPr>
              <w:r>
                <w:fldChar w:fldCharType="end"/>
              </w:r>
            </w:p>
            <w:p w:rsidR="00CE2EFC" w:rsidRDefault="000C1300"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0C1300"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9F2" w:rsidRDefault="009E19F2" w:rsidP="00A744FE">
      <w:pPr>
        <w:spacing w:line="240" w:lineRule="auto"/>
      </w:pPr>
      <w:r>
        <w:separator/>
      </w:r>
    </w:p>
  </w:endnote>
  <w:endnote w:type="continuationSeparator" w:id="1">
    <w:p w:rsidR="009E19F2" w:rsidRDefault="009E19F2"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Footer"/>
      <w:jc w:val="right"/>
    </w:pPr>
  </w:p>
  <w:p w:rsidR="00B06CA3" w:rsidRDefault="00B06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Pr="00182B74" w:rsidRDefault="00B06CA3" w:rsidP="00CE2EFC">
    <w:pPr>
      <w:pStyle w:val="Footer"/>
      <w:jc w:val="right"/>
    </w:pPr>
    <w:r w:rsidRPr="00182B74">
      <w:t xml:space="preserve">Page </w:t>
    </w:r>
    <w:fldSimple w:instr=" PAGE  \* Arabic  \* MERGEFORMAT ">
      <w:r w:rsidR="00610867">
        <w:rPr>
          <w:noProof/>
        </w:rPr>
        <w:t>35</w:t>
      </w:r>
    </w:fldSimple>
    <w:r w:rsidRPr="00182B74">
      <w:t xml:space="preserve"> of </w:t>
    </w:r>
    <w:fldSimple w:instr=" NUMPAGES  \* Arabic  \* MERGEFORMAT ">
      <w:r w:rsidR="00610867">
        <w:rPr>
          <w:noProof/>
        </w:rPr>
        <w:t>49</w:t>
      </w:r>
    </w:fldSimple>
  </w:p>
  <w:p w:rsidR="00B06CA3" w:rsidRDefault="00B06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9F2" w:rsidRDefault="009E19F2" w:rsidP="00A744FE">
      <w:pPr>
        <w:spacing w:line="240" w:lineRule="auto"/>
      </w:pPr>
      <w:r>
        <w:separator/>
      </w:r>
    </w:p>
  </w:footnote>
  <w:footnote w:type="continuationSeparator" w:id="1">
    <w:p w:rsidR="009E19F2" w:rsidRDefault="009E19F2" w:rsidP="00A744FE">
      <w:pPr>
        <w:spacing w:line="240" w:lineRule="auto"/>
      </w:pPr>
      <w:r>
        <w:continuationSeparator/>
      </w:r>
    </w:p>
  </w:footnote>
  <w:footnote w:id="2">
    <w:p w:rsidR="00B06CA3" w:rsidRDefault="00B06CA3" w:rsidP="00A25E2C">
      <w:pPr>
        <w:pStyle w:val="FootnoteText"/>
      </w:pPr>
      <w:r w:rsidRPr="00A623C3">
        <w:rPr>
          <w:rStyle w:val="FootnoteReference"/>
        </w:rPr>
        <w:footnoteRef/>
      </w:r>
      <w:r>
        <w:t xml:space="preserve"> Turnitin report to be attached from the University. </w:t>
      </w: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footnote>
  <w:footnote w:id="3">
    <w:p w:rsidR="00B06CA3" w:rsidRDefault="00B06CA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07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zMagFNQIPC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30D20"/>
    <w:rsid w:val="005361F3"/>
    <w:rsid w:val="00540131"/>
    <w:rsid w:val="00542EC9"/>
    <w:rsid w:val="005613A1"/>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0867"/>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321A4"/>
    <w:rsid w:val="008406B3"/>
    <w:rsid w:val="00860AF5"/>
    <w:rsid w:val="008657DD"/>
    <w:rsid w:val="008735DF"/>
    <w:rsid w:val="008739D5"/>
    <w:rsid w:val="0088181B"/>
    <w:rsid w:val="00882FFD"/>
    <w:rsid w:val="00887E14"/>
    <w:rsid w:val="00891919"/>
    <w:rsid w:val="00895576"/>
    <w:rsid w:val="008A5DA2"/>
    <w:rsid w:val="008A6A17"/>
    <w:rsid w:val="008B358F"/>
    <w:rsid w:val="008D2BD6"/>
    <w:rsid w:val="008E2414"/>
    <w:rsid w:val="008E26E5"/>
    <w:rsid w:val="008F5DBC"/>
    <w:rsid w:val="008F7A9F"/>
    <w:rsid w:val="00913B67"/>
    <w:rsid w:val="0091735B"/>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19F2"/>
    <w:rsid w:val="009E4288"/>
    <w:rsid w:val="009F4769"/>
    <w:rsid w:val="009F6768"/>
    <w:rsid w:val="00A03691"/>
    <w:rsid w:val="00A03820"/>
    <w:rsid w:val="00A12078"/>
    <w:rsid w:val="00A25BB8"/>
    <w:rsid w:val="00A25E2C"/>
    <w:rsid w:val="00A3204B"/>
    <w:rsid w:val="00A32971"/>
    <w:rsid w:val="00A47D8D"/>
    <w:rsid w:val="00A5068A"/>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49</Pages>
  <Words>12599</Words>
  <Characters>71815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84246</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117</cp:revision>
  <dcterms:created xsi:type="dcterms:W3CDTF">2023-03-06T06:12:00Z</dcterms:created>
  <dcterms:modified xsi:type="dcterms:W3CDTF">2023-03-12T07:31:00Z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