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6A173932"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2DFC275"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70C05016"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change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change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230E1E"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230E1E"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230E1E"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230E1E"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4F34C8DB"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 xml:space="preserve">effectiveness and accuracy of these algorithms seems to be a daunting task. 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042EE528" w:rsidR="009F7050" w:rsidRDefault="00907913" w:rsidP="005B46C3">
      <w:pPr>
        <w:jc w:val="both"/>
        <w:rPr>
          <w:rFonts w:eastAsia="Calibri"/>
          <w:lang w:val="en-US" w:eastAsia="en-US"/>
        </w:rPr>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4A9322F1" w14:textId="5D30B462" w:rsidR="0041148F" w:rsidRDefault="00881C51" w:rsidP="0041148F">
      <w:pPr>
        <w:jc w:val="both"/>
      </w:pPr>
      <w:r>
        <w:t>The c</w:t>
      </w:r>
      <w:r w:rsidR="0041148F">
        <w:t>onfusion matrix helps in exploring several classification metrics for comparing performances.</w:t>
      </w:r>
    </w:p>
    <w:p w14:paraId="587D5EB9" w14:textId="77777777" w:rsidR="00660566" w:rsidRDefault="0041148F" w:rsidP="00EE231D">
      <w:pPr>
        <w:jc w:val="both"/>
      </w:pPr>
      <w:r>
        <w:t xml:space="preserve">Accuracy determines the precision of a model according to its correctly classified true positives and true negatives in the dataset. F1-score helps in determining false positives and false negatives. </w:t>
      </w:r>
      <w:r w:rsidR="00660566">
        <w:t>A</w:t>
      </w:r>
      <w:r>
        <w:t xml:space="preserve">dditionally, the AUC compares the rates of false-positive and true-positive in the dataset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41148F">
        <w:rPr>
          <w:noProof/>
        </w:rPr>
        <w:t>(Silva &amp; Naranjo, 2020)</w:t>
      </w:r>
      <w:r>
        <w:fldChar w:fldCharType="end"/>
      </w:r>
      <w:r>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t>Chapter 3: Problem Statement</w:t>
      </w:r>
      <w:bookmarkEnd w:id="8"/>
    </w:p>
    <w:p w14:paraId="2BE6078C" w14:textId="77777777" w:rsidR="007424C3" w:rsidRPr="007424C3" w:rsidRDefault="007424C3" w:rsidP="007424C3">
      <w:pPr>
        <w:rPr>
          <w:rFonts w:eastAsia="Calibri"/>
          <w:lang w:val="en-US" w:eastAsia="en-US"/>
        </w:rPr>
      </w:pPr>
    </w:p>
    <w:p w14:paraId="2B63E9BE" w14:textId="49958B12"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most of the fundamental, technical analys</w:t>
      </w:r>
      <w:r w:rsidR="00881C51">
        <w:t>e</w:t>
      </w:r>
      <w:r w:rsidR="00140458">
        <w:t xml:space="preserve">s and algorithmic trading failed </w:t>
      </w:r>
      <w:r w:rsidR="00881C51">
        <w:t>to</w:t>
      </w:r>
      <w:r w:rsidR="00140458">
        <w:t xml:space="preserve"> </w:t>
      </w:r>
      <w:r w:rsidR="00D57FD0">
        <w:t>consisten</w:t>
      </w:r>
      <w:r w:rsidR="00140458">
        <w:t>tly</w:t>
      </w:r>
      <w:r w:rsidR="00D57FD0">
        <w:t xml:space="preserve"> predict</w:t>
      </w:r>
      <w:r w:rsidR="00140458">
        <w:t xml:space="preserve">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881C51">
        <w:rPr>
          <w:rFonts w:eastAsia="Calibri"/>
          <w:lang w:val="en-US" w:eastAsia="en-US"/>
        </w:rPr>
        <w:t xml:space="preserve">the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75F0DB38"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2D46BCAF"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7F1C20BE" w:rsidR="00337D07" w:rsidRDefault="00720B44" w:rsidP="00720B44">
      <w:pPr>
        <w:jc w:val="both"/>
        <w:rPr>
          <w:b/>
        </w:rPr>
      </w:pPr>
      <w:r>
        <w:t xml:space="preserve">Has been done in </w:t>
      </w:r>
      <w:r w:rsidR="00881C51">
        <w:t xml:space="preserve">the </w:t>
      </w:r>
      <w:r>
        <w:t xml:space="preserve">implementation document which can be accessed in the GitHub link as provided in the </w:t>
      </w:r>
      <w:r w:rsidRPr="00720B44">
        <w:rPr>
          <w:rFonts w:eastAsia="Calibri"/>
          <w:bCs/>
          <w:lang w:eastAsia="en-US"/>
        </w:rPr>
        <w:t>Appendix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3D2D7349"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 upward or downward trend.</w:t>
      </w:r>
    </w:p>
    <w:p w14:paraId="7154DB2D" w14:textId="77777777" w:rsidR="0070583A" w:rsidRDefault="0070583A" w:rsidP="0070583A">
      <w:pPr>
        <w:jc w:val="both"/>
      </w:pPr>
    </w:p>
    <w:p w14:paraId="507A70F0" w14:textId="7B85875B" w:rsidR="0070583A" w:rsidRDefault="0070583A" w:rsidP="00337D07">
      <w:pPr>
        <w:jc w:val="both"/>
      </w:pPr>
      <w:r w:rsidRPr="00F171E3">
        <w:lastRenderedPageBreak/>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0915E566" w14:textId="7849CE96" w:rsidR="00B11D9C" w:rsidRPr="00B11D9C" w:rsidRDefault="00B11D9C" w:rsidP="00B11D9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1393EC0A" w14:textId="77777777" w:rsidR="00B11D9C" w:rsidRDefault="00B11D9C" w:rsidP="00B11D9C">
      <w:pPr>
        <w:jc w:val="both"/>
        <w:rPr>
          <w:rFonts w:eastAsia="Calibri"/>
          <w:lang w:val="en-US" w:eastAsia="en-US"/>
        </w:rPr>
      </w:pPr>
    </w:p>
    <w:p w14:paraId="76EB90A0" w14:textId="7B827636"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6D1C4732" w:rsidR="00AA45B0" w:rsidRDefault="003F3C66" w:rsidP="00AA45B0">
      <w:pPr>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7D99FAF8" w:rsidR="00AA45B0" w:rsidRDefault="00AA45B0" w:rsidP="00AA45B0">
      <w:pPr>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or more, the direction of the closing price can be made positive.</w:t>
      </w:r>
    </w:p>
    <w:p w14:paraId="3C469DCB" w14:textId="77777777" w:rsidR="00AA45B0" w:rsidRDefault="00AA45B0" w:rsidP="00AA45B0">
      <w:pPr>
        <w:rPr>
          <w:rFonts w:eastAsia="Calibri"/>
        </w:rPr>
      </w:pPr>
    </w:p>
    <w:p w14:paraId="7C205720" w14:textId="4E051572" w:rsidR="00AA45B0" w:rsidRPr="00234448" w:rsidRDefault="00AA45B0" w:rsidP="00AA45B0">
      <w:pPr>
        <w:rPr>
          <w:rFonts w:eastAsia="Calibri"/>
        </w:rPr>
      </w:pPr>
      <w:r w:rsidRPr="00234448">
        <w:rPr>
          <w:rFonts w:eastAsia="Calibri"/>
        </w:rPr>
        <w:t>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15F16824"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45D1ABB8" w14:textId="77777777" w:rsidR="00AA45B0" w:rsidRDefault="00AA45B0" w:rsidP="00AA45B0">
      <w:pPr>
        <w:rPr>
          <w:rFonts w:eastAsia="Calibri"/>
        </w:rPr>
      </w:pPr>
    </w:p>
    <w:p w14:paraId="17B59919" w14:textId="6072DA40" w:rsidR="00AA45B0" w:rsidRDefault="00AA45B0" w:rsidP="00AA45B0">
      <w:pPr>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312BA3EA" w:rsidR="00AA45B0" w:rsidRDefault="00AA45B0" w:rsidP="00AA45B0">
      <w:pPr>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w:t>
      </w:r>
      <w:r w:rsidRPr="00234448">
        <w:rPr>
          <w:rFonts w:eastAsia="Calibri"/>
        </w:rPr>
        <w:lastRenderedPageBreak/>
        <w:t>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4572C250" w14:textId="77777777" w:rsidR="00AA45B0" w:rsidRDefault="00AA45B0" w:rsidP="00AA45B0">
      <w:pPr>
        <w:rPr>
          <w:rFonts w:eastAsia="Calibri"/>
        </w:rPr>
      </w:pPr>
    </w:p>
    <w:p w14:paraId="5E95589E" w14:textId="232DCEDD"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w:t>
      </w:r>
      <w:r w:rsidR="00881C51">
        <w:rPr>
          <w:rFonts w:eastAsia="Calibri"/>
        </w:rPr>
        <w:t>,</w:t>
      </w:r>
      <w:r w:rsidRPr="00396CE9">
        <w:rPr>
          <w:rFonts w:eastAsia="Calibri"/>
        </w:rPr>
        <w:t xml:space="preserve"> and 1.5% change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2E2A1F68" w:rsidR="00AA45B0" w:rsidRDefault="00881C51" w:rsidP="00AA45B0">
      <w:pPr>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change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0A890AA2" w:rsidR="00AA45B0" w:rsidRDefault="00AA45B0" w:rsidP="00AA45B0">
      <w:pPr>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32E5547B" w:rsidR="00AA45B0" w:rsidRPr="004258B5" w:rsidRDefault="00AA45B0" w:rsidP="00AA45B0">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4763BA8" w14:textId="77777777" w:rsidR="00AA45B0" w:rsidRDefault="00AA45B0" w:rsidP="00AA45B0"/>
    <w:p w14:paraId="63530378" w14:textId="082D7857"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lastRenderedPageBreak/>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19D091E6"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B6710CF"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6BFCB747" w:rsidR="00CA478F" w:rsidRPr="00CA478F" w:rsidRDefault="00CA478F" w:rsidP="00CA478F">
      <w:r w:rsidRPr="00CA478F">
        <w:rPr>
          <w:rStyle w:val="Heading1Char"/>
          <w:rFonts w:eastAsiaTheme="majorEastAsia"/>
          <w:sz w:val="24"/>
          <w:szCs w:val="24"/>
        </w:rPr>
        <w:t xml:space="preserve">Direction Detection by 6,10,14 days consecutive closing prices split week on </w:t>
      </w:r>
      <w:r w:rsidR="00955041">
        <w:rPr>
          <w:rStyle w:val="Heading1Char"/>
          <w:rFonts w:eastAsiaTheme="majorEastAsia"/>
          <w:sz w:val="24"/>
          <w:szCs w:val="24"/>
        </w:rPr>
        <w:t xml:space="preserve">the </w:t>
      </w:r>
      <w:r w:rsidRPr="00CA478F">
        <w:rPr>
          <w:rStyle w:val="Heading1Char"/>
          <w:rFonts w:eastAsiaTheme="majorEastAsia"/>
          <w:sz w:val="24"/>
          <w:szCs w:val="24"/>
        </w:rPr>
        <w:t>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1FB48E42" w:rsidR="00BD18E1" w:rsidRDefault="00CA478F" w:rsidP="00CA478F">
      <w:pPr>
        <w:jc w:val="both"/>
      </w:pPr>
      <w:r w:rsidRPr="00066837">
        <w:t>From Table</w:t>
      </w:r>
      <w:r w:rsidR="00546A28">
        <w:t xml:space="preserve"> 10.1</w:t>
      </w:r>
      <w:r w:rsidRPr="00066837">
        <w:t xml:space="preserve">, it can be observed that </w:t>
      </w:r>
      <w:r w:rsidR="006B7F36">
        <w:t>RF</w:t>
      </w:r>
      <w:r w:rsidRPr="00066837">
        <w:t xml:space="preserve">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59101627" w:rsidR="00CA478F" w:rsidRDefault="00CA478F" w:rsidP="00CA478F">
      <w:pPr>
        <w:jc w:val="both"/>
      </w:pPr>
      <w:r w:rsidRPr="009522E7">
        <w:t>From Table</w:t>
      </w:r>
      <w:r w:rsidR="006B57ED">
        <w:t xml:space="preserve"> 10.2</w:t>
      </w:r>
      <w:r w:rsidRPr="009522E7">
        <w:t xml:space="preserve">, it can be observed that </w:t>
      </w:r>
      <w:r w:rsidR="00A7682E">
        <w:t>LR</w:t>
      </w:r>
      <w:r w:rsidRPr="009522E7">
        <w:t xml:space="preserve"> modelling done for percentage change in close price between upper-band +1.5% and lower band -.1.5% has given the highest efficiency in prediction. However, it predicts only </w:t>
      </w:r>
      <w:r w:rsidR="00955041">
        <w:t xml:space="preserve">a </w:t>
      </w:r>
      <w:r w:rsidRPr="009522E7">
        <w:t>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14FB808C"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more than 0.5%, the direction of the closing price is treated as positive and suitable for long Trading in </w:t>
      </w:r>
      <w:r w:rsidR="00955041">
        <w:t xml:space="preserve">the </w:t>
      </w:r>
      <w:r>
        <w:t xml:space="preserve">stock market. Otherwise, the direction of the close price is treated as non-positive and not suitable for long Trading in </w:t>
      </w:r>
      <w:r w:rsidR="00955041">
        <w:t xml:space="preserve">the </w:t>
      </w:r>
      <w:r>
        <w:t>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5A1C117A" w:rsidR="00CA478F" w:rsidRDefault="00CA478F" w:rsidP="00CA478F">
      <w:pPr>
        <w:jc w:val="both"/>
      </w:pPr>
      <w:r w:rsidRPr="009522E7">
        <w:t>From Table</w:t>
      </w:r>
      <w:r w:rsidR="0075616C">
        <w:t xml:space="preserve"> 10.3</w:t>
      </w:r>
      <w:r w:rsidRPr="009522E7">
        <w:t xml:space="preserve">, it can be observed that </w:t>
      </w:r>
      <w:r w:rsidR="00A7682E">
        <w:t>LR</w:t>
      </w:r>
      <w:r w:rsidRPr="009522E7">
        <w:t xml:space="preserve"> </w:t>
      </w:r>
      <w:r w:rsidR="00881C51" w:rsidRPr="009522E7">
        <w:t>modelling</w:t>
      </w:r>
      <w:r w:rsidRPr="009522E7">
        <w:t xml:space="preserve">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74A286B9" w14:textId="6F599454" w:rsidR="007F3A25" w:rsidRDefault="00CA478F" w:rsidP="007F3A25">
      <w:pPr>
        <w:jc w:val="both"/>
      </w:pPr>
      <w:r w:rsidRPr="009522E7">
        <w:t>From Table</w:t>
      </w:r>
      <w:r w:rsidR="0075616C">
        <w:t xml:space="preserve"> 10.5</w:t>
      </w:r>
      <w:r w:rsidRPr="009522E7">
        <w:t xml:space="preserve">, it can be observed that </w:t>
      </w:r>
      <w:r w:rsidR="006B7F36">
        <w:t>RF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w:t>
      </w:r>
      <w:r w:rsidR="00955041">
        <w:t>s</w:t>
      </w:r>
      <w:r>
        <w:t>. ROC AUC score has been consider</w:t>
      </w:r>
      <w:r w:rsidR="00955041">
        <w:t>ed</w:t>
      </w:r>
      <w:r>
        <w:t xml:space="preserve"> satisfactory for all technical indicators.</w:t>
      </w:r>
    </w:p>
    <w:p w14:paraId="67D11FE1" w14:textId="5CC0E7AF" w:rsidR="008D67B9" w:rsidRDefault="008D67B9" w:rsidP="007F3A25">
      <w:pPr>
        <w:jc w:val="both"/>
      </w:pPr>
    </w:p>
    <w:p w14:paraId="6F850275" w14:textId="5CBC3332" w:rsidR="008D67B9" w:rsidRDefault="008D67B9" w:rsidP="007F3A25">
      <w:pPr>
        <w:jc w:val="both"/>
      </w:pPr>
    </w:p>
    <w:p w14:paraId="3B04E632" w14:textId="45FFEE9F" w:rsidR="008D67B9" w:rsidRDefault="008D67B9" w:rsidP="007F3A25">
      <w:pPr>
        <w:jc w:val="both"/>
      </w:pPr>
    </w:p>
    <w:p w14:paraId="0672172B" w14:textId="61EF7215" w:rsidR="008D67B9" w:rsidRDefault="008D67B9" w:rsidP="007F3A25">
      <w:pPr>
        <w:jc w:val="both"/>
      </w:pPr>
    </w:p>
    <w:p w14:paraId="39F888F0" w14:textId="0EAA3BF4" w:rsidR="008D67B9" w:rsidRDefault="008D67B9" w:rsidP="007F3A25">
      <w:pPr>
        <w:jc w:val="both"/>
      </w:pPr>
    </w:p>
    <w:p w14:paraId="33CAAE2C" w14:textId="77777777" w:rsidR="008D67B9" w:rsidRDefault="008D67B9"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3A935F20"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434F30C4"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7DCC91BA"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less than -0.5%, the direction of the closing price is treated as Negative and suitable for Short Trading in </w:t>
      </w:r>
      <w:r w:rsidR="00955041">
        <w:t xml:space="preserve">the </w:t>
      </w:r>
      <w:r>
        <w:t xml:space="preserve">stock market. Otherwise, the direction of the close price is treated as non-negative and not suitable for Short Trading in </w:t>
      </w:r>
      <w:r w:rsidR="00955041">
        <w:t xml:space="preserve">the </w:t>
      </w:r>
      <w:r>
        <w:t>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5EC5C21D"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63B4CDCA"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w:t>
      </w:r>
      <w:r w:rsidR="00955041">
        <w:t>s</w:t>
      </w:r>
      <w:r>
        <w:t xml:space="preserve">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17353E9"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recalling </w:t>
      </w:r>
      <w:r w:rsidR="00955041">
        <w:t xml:space="preserve">the </w:t>
      </w:r>
      <w:r>
        <w:t>downward direction trend. ROC AUC score has been consider</w:t>
      </w:r>
      <w:r w:rsidR="00955041">
        <w:t>ed</w:t>
      </w:r>
      <w:r>
        <w:t xml:space="preserve">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059E9A28"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0748FB28" w14:textId="157BE3D3" w:rsidR="006F35C6"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w:t>
      </w:r>
      <w:r w:rsidR="00CE694E">
        <w:t xml:space="preserve"> </w:t>
      </w:r>
      <w:r>
        <w:t>recalling downward trend direction. ROC AUC score has been consider</w:t>
      </w:r>
      <w:r w:rsidR="00955041">
        <w:t>ed</w:t>
      </w:r>
      <w:r>
        <w:t xml:space="preserve"> satisfactory for all technical indicators</w:t>
      </w:r>
      <w:r w:rsidR="008D67B9">
        <w:t>.</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103E8092" w:rsidR="001243D7" w:rsidRPr="006735C8" w:rsidRDefault="001243D7" w:rsidP="002C0211">
      <w:pPr>
        <w:pStyle w:val="Heading2"/>
        <w:ind w:left="0"/>
      </w:pPr>
      <w:r w:rsidRPr="006735C8">
        <w:rPr>
          <w:rStyle w:val="Heading1Char"/>
          <w:rFonts w:eastAsiaTheme="majorEastAsia"/>
          <w:b/>
          <w:bCs/>
          <w:sz w:val="24"/>
          <w:szCs w:val="24"/>
        </w:rPr>
        <w:t xml:space="preserve">Direction Detection by 6,10,14 days consecutive closing prices split week on </w:t>
      </w:r>
      <w:r w:rsidR="00881C51">
        <w:rPr>
          <w:rStyle w:val="Heading1Char"/>
          <w:rFonts w:eastAsiaTheme="majorEastAsia"/>
          <w:b/>
          <w:bCs/>
          <w:sz w:val="24"/>
          <w:szCs w:val="24"/>
        </w:rPr>
        <w:t xml:space="preserve">the </w:t>
      </w:r>
      <w:r w:rsidRPr="006735C8">
        <w:rPr>
          <w:rStyle w:val="Heading1Char"/>
          <w:rFonts w:eastAsiaTheme="majorEastAsia"/>
          <w:b/>
          <w:bCs/>
          <w:sz w:val="24"/>
          <w:szCs w:val="24"/>
        </w:rPr>
        <w:t>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21B27D5F"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w:t>
      </w:r>
      <w:r w:rsidR="00A7682E">
        <w:t>LR</w:t>
      </w:r>
      <w:r>
        <w:t xml:space="preserve">, </w:t>
      </w:r>
      <w:r w:rsidR="00A7682E">
        <w:t>DT</w:t>
      </w:r>
      <w:r>
        <w:t xml:space="preserve">, </w:t>
      </w:r>
      <w:r w:rsidR="00A7682E">
        <w:t>RF</w:t>
      </w:r>
      <w:r>
        <w:t xml:space="preserve">, </w:t>
      </w:r>
      <w:r w:rsidR="00A7682E">
        <w:t>KNN</w:t>
      </w:r>
      <w:r w:rsidR="00881C51">
        <w:t>,</w:t>
      </w:r>
      <w:r>
        <w:t xml:space="preserve"> and XG Boost Modelling.</w:t>
      </w:r>
      <w:r w:rsidRPr="00066837">
        <w:t xml:space="preserve"> </w:t>
      </w:r>
      <w:r>
        <w:t>I</w:t>
      </w:r>
      <w:r w:rsidRPr="00066837">
        <w:t>t predicts upward, neutral</w:t>
      </w:r>
      <w:r w:rsidR="00881C51">
        <w:t>,</w:t>
      </w:r>
      <w:r w:rsidRPr="00066837">
        <w:t xml:space="preserve"> and downward trend direction</w:t>
      </w:r>
      <w:r w:rsidR="00881C51">
        <w:t>s</w:t>
      </w:r>
      <w:r w:rsidRPr="00066837">
        <w:t xml:space="preserve">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 consecutive closing </w:t>
      </w:r>
      <w:r w:rsidRPr="00066837">
        <w:lastRenderedPageBreak/>
        <w:t xml:space="preserve">prices split week on week as 6,10 and 14 feature variables. Hence, </w:t>
      </w:r>
      <w:r w:rsidR="006B7F36">
        <w:t>RF</w:t>
      </w:r>
      <w:r w:rsidRPr="00066837">
        <w:t xml:space="preserve">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F5D17B5"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w:t>
            </w:r>
            <w:r w:rsidR="004278F8">
              <w:rPr>
                <w:rFonts w:asciiTheme="minorHAnsi" w:hAnsiTheme="minorHAnsi" w:cstheme="minorHAnsi"/>
                <w:sz w:val="20"/>
                <w:szCs w:val="20"/>
              </w:rPr>
              <w:t>R</w:t>
            </w:r>
            <w:r w:rsidRPr="002C0211">
              <w:rPr>
                <w:rFonts w:asciiTheme="minorHAnsi" w:hAnsiTheme="minorHAnsi" w:cstheme="minorHAnsi"/>
                <w:sz w:val="20"/>
                <w:szCs w:val="20"/>
              </w:rPr>
              <w:t xml:space="preserve">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2096B7FD"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w:t>
            </w:r>
            <w:r w:rsidR="004278F8">
              <w:rPr>
                <w:rFonts w:asciiTheme="minorHAnsi" w:hAnsiTheme="minorHAnsi" w:cstheme="minorHAnsi"/>
              </w:rPr>
              <w:t>R</w:t>
            </w:r>
            <w:r w:rsidRPr="002C0211">
              <w:rPr>
                <w:rFonts w:asciiTheme="minorHAnsi" w:hAnsiTheme="minorHAnsi" w:cstheme="minorHAnsi"/>
              </w:rPr>
              <w:t xml:space="preserve">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74161A3B" w:rsidR="001243D7" w:rsidRDefault="001243D7" w:rsidP="001243D7">
      <w:pPr>
        <w:jc w:val="both"/>
      </w:pPr>
      <w:r w:rsidRPr="00B34392">
        <w:t>From Table</w:t>
      </w:r>
      <w:r w:rsidR="001F669F">
        <w:t xml:space="preserve"> 12.2</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lastRenderedPageBreak/>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1A915C9C"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LR </w:t>
            </w:r>
            <w:r w:rsidRPr="002C0211">
              <w:rPr>
                <w:rFonts w:asciiTheme="minorHAnsi" w:hAnsiTheme="minorHAnsi" w:cstheme="minorHAnsi"/>
                <w:sz w:val="20"/>
                <w:szCs w:val="20"/>
              </w:rPr>
              <w:t>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3A6B859F"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LR</w:t>
            </w:r>
            <w:r w:rsidR="001243D7" w:rsidRPr="002C0211">
              <w:rPr>
                <w:rFonts w:asciiTheme="minorHAnsi" w:hAnsiTheme="minorHAnsi" w:cstheme="minorHAnsi"/>
                <w:sz w:val="20"/>
                <w:szCs w:val="20"/>
              </w:rPr>
              <w:t xml:space="preserve">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59C0D339"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RF </w:t>
            </w:r>
            <w:r w:rsidR="001243D7" w:rsidRPr="002C0211">
              <w:rPr>
                <w:rFonts w:asciiTheme="minorHAnsi" w:hAnsiTheme="minorHAnsi" w:cstheme="minorHAnsi"/>
                <w:sz w:val="20"/>
                <w:szCs w:val="20"/>
              </w:rPr>
              <w:t>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1D328472" w:rsidR="001243D7" w:rsidRDefault="001243D7" w:rsidP="001243D7">
      <w:pPr>
        <w:jc w:val="both"/>
      </w:pPr>
      <w:r w:rsidRPr="00B34392">
        <w:t>From Table</w:t>
      </w:r>
      <w:r w:rsidR="001F669F">
        <w:t xml:space="preserve"> 12.3</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trend indicators whereas XG Boost Classifier provided best prediction performance for momentum indicators. </w:t>
      </w:r>
      <w:r w:rsidR="00881C51" w:rsidRPr="00B34392">
        <w:t>Similarly,</w:t>
      </w:r>
      <w:r w:rsidRPr="00B34392">
        <w:t xml:space="preserve"> </w:t>
      </w:r>
      <w:r w:rsidR="006B7F36">
        <w:t>RF</w:t>
      </w:r>
      <w:r w:rsidRPr="00B34392">
        <w:t xml:space="preserve"> Classifier provided </w:t>
      </w:r>
      <w:r w:rsidR="00881C51">
        <w:t xml:space="preserve">the </w:t>
      </w:r>
      <w:r w:rsidRPr="00B34392">
        <w:t>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5BBD5ED4"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change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230E1E"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230E1E"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68F5" w14:textId="77777777" w:rsidR="00230E1E" w:rsidRDefault="00230E1E" w:rsidP="002C3450">
      <w:pPr>
        <w:spacing w:line="240" w:lineRule="auto"/>
      </w:pPr>
      <w:r>
        <w:separator/>
      </w:r>
    </w:p>
  </w:endnote>
  <w:endnote w:type="continuationSeparator" w:id="0">
    <w:p w14:paraId="0290BE94" w14:textId="77777777" w:rsidR="00230E1E" w:rsidRDefault="00230E1E"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230E1E">
      <w:fldChar w:fldCharType="begin"/>
    </w:r>
    <w:r w:rsidR="00230E1E">
      <w:instrText xml:space="preserve"> NUMPAGES  \* Arabic  \* MERGEFORMAT </w:instrText>
    </w:r>
    <w:r w:rsidR="00230E1E">
      <w:fldChar w:fldCharType="separate"/>
    </w:r>
    <w:r w:rsidR="00FC4FF9">
      <w:rPr>
        <w:noProof/>
      </w:rPr>
      <w:t>33</w:t>
    </w:r>
    <w:r w:rsidR="00230E1E">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2412" w14:textId="77777777" w:rsidR="00230E1E" w:rsidRDefault="00230E1E" w:rsidP="00A744FE">
      <w:pPr>
        <w:spacing w:line="240" w:lineRule="auto"/>
      </w:pPr>
      <w:r>
        <w:separator/>
      </w:r>
    </w:p>
  </w:footnote>
  <w:footnote w:type="continuationSeparator" w:id="0">
    <w:p w14:paraId="6799F73B" w14:textId="77777777" w:rsidR="00230E1E" w:rsidRDefault="00230E1E"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zNagF6KkHDLQAAAA=="/>
  </w:docVars>
  <w:rsids>
    <w:rsidRoot w:val="00A744FE"/>
    <w:rsid w:val="00001442"/>
    <w:rsid w:val="0000649A"/>
    <w:rsid w:val="00012475"/>
    <w:rsid w:val="000149BE"/>
    <w:rsid w:val="00015180"/>
    <w:rsid w:val="0001597F"/>
    <w:rsid w:val="00015D8A"/>
    <w:rsid w:val="00016A60"/>
    <w:rsid w:val="00016DB0"/>
    <w:rsid w:val="00020536"/>
    <w:rsid w:val="00023535"/>
    <w:rsid w:val="00025262"/>
    <w:rsid w:val="00025D36"/>
    <w:rsid w:val="00031D2C"/>
    <w:rsid w:val="0003232B"/>
    <w:rsid w:val="00036D58"/>
    <w:rsid w:val="000405A0"/>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77A27"/>
    <w:rsid w:val="000803F8"/>
    <w:rsid w:val="00082148"/>
    <w:rsid w:val="00085C75"/>
    <w:rsid w:val="00090B35"/>
    <w:rsid w:val="00091E1B"/>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4BE6"/>
    <w:rsid w:val="00254CB5"/>
    <w:rsid w:val="00263B22"/>
    <w:rsid w:val="00264932"/>
    <w:rsid w:val="00272D31"/>
    <w:rsid w:val="0027393C"/>
    <w:rsid w:val="002761E3"/>
    <w:rsid w:val="00276943"/>
    <w:rsid w:val="002803E7"/>
    <w:rsid w:val="002863A9"/>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721F"/>
    <w:rsid w:val="00392FD6"/>
    <w:rsid w:val="00394D21"/>
    <w:rsid w:val="003A04D2"/>
    <w:rsid w:val="003A2752"/>
    <w:rsid w:val="003A2E83"/>
    <w:rsid w:val="003A3F49"/>
    <w:rsid w:val="003A6728"/>
    <w:rsid w:val="003A6C82"/>
    <w:rsid w:val="003A7972"/>
    <w:rsid w:val="003B2BB4"/>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4050"/>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947A5"/>
    <w:rsid w:val="00595135"/>
    <w:rsid w:val="00596415"/>
    <w:rsid w:val="005968E2"/>
    <w:rsid w:val="00596C92"/>
    <w:rsid w:val="005A0148"/>
    <w:rsid w:val="005A091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7B64"/>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03E"/>
    <w:rsid w:val="00BC4FC8"/>
    <w:rsid w:val="00BC5FC5"/>
    <w:rsid w:val="00BC61F5"/>
    <w:rsid w:val="00BC7BB3"/>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4CCA"/>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B77A0"/>
    <w:rsid w:val="00DC29FD"/>
    <w:rsid w:val="00DC33E0"/>
    <w:rsid w:val="00DC3CD8"/>
    <w:rsid w:val="00DC5FEF"/>
    <w:rsid w:val="00DC76BF"/>
    <w:rsid w:val="00DD1274"/>
    <w:rsid w:val="00DD3038"/>
    <w:rsid w:val="00DD3B4B"/>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24DA2"/>
    <w:rsid w:val="00E25BA0"/>
    <w:rsid w:val="00E25E12"/>
    <w:rsid w:val="00E263CC"/>
    <w:rsid w:val="00E30D78"/>
    <w:rsid w:val="00E32397"/>
    <w:rsid w:val="00E33D2B"/>
    <w:rsid w:val="00E46F6F"/>
    <w:rsid w:val="00E476E5"/>
    <w:rsid w:val="00E52AFD"/>
    <w:rsid w:val="00E536D9"/>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5619</TotalTime>
  <Pages>51</Pages>
  <Words>19147</Words>
  <Characters>109143</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912</cp:revision>
  <cp:lastPrinted>2022-08-16T02:55:00Z</cp:lastPrinted>
  <dcterms:created xsi:type="dcterms:W3CDTF">2020-10-12T10:08:00Z</dcterms:created>
  <dcterms:modified xsi:type="dcterms:W3CDTF">2022-09-22T06:28:00Z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