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802062">
        <w:t>9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140A8D">
        <w:t xml:space="preserve"> 9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802062">
        <w:t>9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802062">
        <w:t>9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12</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w:t>
            </w:r>
            <w:r w:rsidR="00C030B9">
              <w:rPr>
                <w:rFonts w:asciiTheme="minorHAnsi" w:hAnsiTheme="minorHAnsi" w:cstheme="minorHAnsi"/>
                <w:sz w:val="22"/>
                <w:szCs w:val="22"/>
              </w:rPr>
              <w:t>8</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sz w:val="22"/>
                <w:szCs w:val="22"/>
              </w:rPr>
            </w:pPr>
            <w:r w:rsidRPr="00C030B9">
              <w:rPr>
                <w:rFonts w:asciiTheme="minorHAnsi" w:hAnsiTheme="minorHAnsi" w:cstheme="minorHAnsi"/>
                <w:sz w:val="22"/>
                <w:szCs w:val="22"/>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sz w:val="22"/>
                <w:szCs w:val="22"/>
              </w:rPr>
            </w:pPr>
            <w:r w:rsidRPr="00C030B9">
              <w:rPr>
                <w:rFonts w:asciiTheme="minorHAnsi" w:hAnsiTheme="minorHAnsi" w:cstheme="minorHAnsi"/>
                <w:sz w:val="22"/>
                <w:szCs w:val="22"/>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sz w:val="22"/>
                <w:szCs w:val="22"/>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sz w:val="22"/>
                <w:szCs w:val="22"/>
              </w:rPr>
            </w:pPr>
            <w:r w:rsidRPr="00C030B9">
              <w:rPr>
                <w:rFonts w:asciiTheme="minorHAnsi" w:hAnsiTheme="minorHAnsi" w:cstheme="minorHAnsi"/>
                <w:sz w:val="22"/>
                <w:szCs w:val="22"/>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sz w:val="22"/>
                <w:szCs w:val="22"/>
              </w:rPr>
            </w:pPr>
            <w:r w:rsidRPr="00C030B9">
              <w:rPr>
                <w:rFonts w:asciiTheme="minorHAnsi" w:hAnsiTheme="minorHAnsi" w:cstheme="minorHAnsi"/>
                <w:sz w:val="22"/>
                <w:szCs w:val="22"/>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sz w:val="22"/>
                <w:szCs w:val="22"/>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sz w:val="22"/>
                <w:szCs w:val="22"/>
              </w:rPr>
            </w:pPr>
            <w:r w:rsidRPr="00C030B9">
              <w:rPr>
                <w:rFonts w:asciiTheme="minorHAnsi" w:hAnsiTheme="minorHAnsi" w:cstheme="minorHAnsi"/>
                <w:sz w:val="22"/>
                <w:szCs w:val="22"/>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sz w:val="22"/>
                <w:szCs w:val="22"/>
              </w:rPr>
            </w:pPr>
            <w:r w:rsidRPr="00C030B9">
              <w:rPr>
                <w:rFonts w:asciiTheme="minorHAnsi" w:hAnsiTheme="minorHAnsi" w:cstheme="minorHAnsi"/>
                <w:sz w:val="22"/>
                <w:szCs w:val="22"/>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F87E3D" w:rsidP="00EF0A48">
            <w:pPr>
              <w:pStyle w:val="TableParagraph"/>
              <w:kinsoku w:val="0"/>
              <w:overflowPunct w:val="0"/>
              <w:spacing w:before="0"/>
              <w:ind w:left="117"/>
              <w:jc w:val="center"/>
              <w:rPr>
                <w:rFonts w:asciiTheme="minorHAnsi" w:hAnsiTheme="minorHAnsi" w:cstheme="minorHAnsi"/>
                <w:sz w:val="22"/>
                <w:szCs w:val="22"/>
              </w:rPr>
            </w:pPr>
            <w:r w:rsidRPr="00F87E3D">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7"/>
              <w:jc w:val="center"/>
              <w:rPr>
                <w:rFonts w:asciiTheme="minorHAnsi" w:hAnsiTheme="minorHAnsi" w:cstheme="minorHAnsi"/>
                <w:sz w:val="22"/>
                <w:szCs w:val="22"/>
              </w:rPr>
            </w:pPr>
            <w:r w:rsidRPr="00E06DC8">
              <w:rPr>
                <w:rFonts w:asciiTheme="minorHAnsi" w:hAnsiTheme="minorHAnsi" w:cstheme="minorHAnsi"/>
                <w:sz w:val="22"/>
                <w:szCs w:val="22"/>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sz w:val="22"/>
                <w:szCs w:val="22"/>
              </w:rPr>
            </w:pPr>
            <w:r w:rsidRPr="00E06DC8">
              <w:rPr>
                <w:rFonts w:asciiTheme="minorHAnsi" w:hAnsiTheme="minorHAnsi" w:cstheme="minorHAnsi"/>
                <w:sz w:val="22"/>
                <w:szCs w:val="22"/>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sz w:val="22"/>
                <w:szCs w:val="22"/>
              </w:rPr>
            </w:pPr>
            <w:r w:rsidRPr="00E06DC8">
              <w:rPr>
                <w:rFonts w:asciiTheme="minorHAnsi" w:hAnsiTheme="minorHAnsi" w:cstheme="minorHAnsi"/>
                <w:sz w:val="22"/>
                <w:szCs w:val="22"/>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sz w:val="22"/>
                <w:szCs w:val="22"/>
              </w:rPr>
            </w:pPr>
            <w:r w:rsidRPr="00E06DC8">
              <w:rPr>
                <w:rFonts w:asciiTheme="minorHAnsi" w:hAnsiTheme="minorHAnsi" w:cstheme="minorHAnsi"/>
                <w:sz w:val="22"/>
                <w:szCs w:val="22"/>
              </w:rPr>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Customized Scatter Plot against close price for the HDFCBANK Stock from 2000 to 2022</w:t>
            </w:r>
          </w:p>
          <w:p w:rsidR="00E06DC8" w:rsidRPr="007B0D15" w:rsidRDefault="00E06DC8" w:rsidP="00EF0A48">
            <w:pPr>
              <w:pStyle w:val="TableParagraph"/>
              <w:kinsoku w:val="0"/>
              <w:overflowPunct w:val="0"/>
              <w:spacing w:before="0"/>
              <w:ind w:left="117"/>
              <w:jc w:val="center"/>
              <w:rPr>
                <w:rFonts w:asciiTheme="minorHAnsi" w:hAnsiTheme="minorHAnsi" w:cstheme="minorHAnsi"/>
                <w:sz w:val="22"/>
                <w:szCs w:val="22"/>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sz w:val="22"/>
                <w:szCs w:val="22"/>
              </w:rPr>
            </w:pPr>
            <w:r w:rsidRPr="00E06DC8">
              <w:rPr>
                <w:rFonts w:asciiTheme="minorHAnsi" w:hAnsiTheme="minorHAnsi" w:cstheme="minorHAnsi"/>
                <w:sz w:val="22"/>
                <w:szCs w:val="22"/>
              </w:rPr>
              <w:lastRenderedPageBreak/>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sz w:val="22"/>
                <w:szCs w:val="22"/>
              </w:rPr>
            </w:pPr>
            <w:r w:rsidRPr="00E06DC8">
              <w:rPr>
                <w:rFonts w:asciiTheme="minorHAnsi" w:hAnsiTheme="minorHAnsi" w:cstheme="minorHAnsi"/>
                <w:sz w:val="22"/>
                <w:szCs w:val="22"/>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sz w:val="22"/>
                <w:szCs w:val="22"/>
              </w:rPr>
            </w:pPr>
            <w:r w:rsidRPr="00E06DC8">
              <w:rPr>
                <w:rFonts w:asciiTheme="minorHAnsi" w:hAnsiTheme="minorHAnsi" w:cstheme="minorHAnsi"/>
                <w:sz w:val="22"/>
                <w:szCs w:val="22"/>
              </w:rPr>
              <w:t>26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sz w:val="22"/>
                <w:szCs w:val="22"/>
              </w:rPr>
            </w:pPr>
            <w:r w:rsidRPr="00A12E1F">
              <w:rPr>
                <w:rFonts w:asciiTheme="minorHAnsi" w:hAnsiTheme="minorHAnsi" w:cstheme="minorHAnsi"/>
                <w:sz w:val="22"/>
                <w:szCs w:val="22"/>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sz w:val="22"/>
                <w:szCs w:val="22"/>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sz w:val="22"/>
                <w:szCs w:val="22"/>
              </w:rPr>
            </w:pPr>
            <w:r w:rsidRPr="00A12E1F">
              <w:rPr>
                <w:rFonts w:asciiTheme="minorHAnsi" w:hAnsiTheme="minorHAnsi" w:cstheme="minorHAnsi"/>
                <w:sz w:val="22"/>
                <w:szCs w:val="22"/>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sz w:val="22"/>
                <w:szCs w:val="22"/>
              </w:rPr>
            </w:pPr>
            <w:r w:rsidRPr="00A12E1F">
              <w:rPr>
                <w:rFonts w:asciiTheme="minorHAnsi" w:hAnsiTheme="minorHAnsi" w:cstheme="minorHAnsi"/>
                <w:sz w:val="22"/>
                <w:szCs w:val="22"/>
              </w:rPr>
              <w:t>36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sz w:val="22"/>
                <w:szCs w:val="22"/>
              </w:rPr>
            </w:pPr>
            <w:r w:rsidRPr="00A12E1F">
              <w:rPr>
                <w:rFonts w:asciiTheme="minorHAnsi" w:hAnsiTheme="minorHAnsi" w:cstheme="minorHAnsi"/>
                <w:sz w:val="22"/>
                <w:szCs w:val="22"/>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sz w:val="22"/>
                <w:szCs w:val="22"/>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sz w:val="22"/>
                <w:szCs w:val="22"/>
              </w:rPr>
            </w:pPr>
            <w:r w:rsidRPr="00A12E1F">
              <w:rPr>
                <w:rFonts w:asciiTheme="minorHAnsi" w:hAnsiTheme="minorHAnsi" w:cstheme="minorHAnsi"/>
                <w:sz w:val="22"/>
                <w:szCs w:val="22"/>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sz w:val="22"/>
                <w:szCs w:val="22"/>
              </w:rPr>
            </w:pPr>
            <w:r w:rsidRPr="00A12E1F">
              <w:rPr>
                <w:rFonts w:asciiTheme="minorHAnsi" w:hAnsiTheme="minorHAnsi" w:cstheme="minorHAnsi"/>
                <w:sz w:val="22"/>
                <w:szCs w:val="22"/>
              </w:rPr>
              <w:t>37</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sz w:val="22"/>
                <w:szCs w:val="22"/>
              </w:rPr>
            </w:pPr>
            <w:r w:rsidRPr="00A12E1F">
              <w:rPr>
                <w:rFonts w:asciiTheme="minorHAnsi" w:hAnsiTheme="minorHAnsi" w:cstheme="minorHAnsi"/>
                <w:sz w:val="22"/>
                <w:szCs w:val="22"/>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sz w:val="22"/>
                <w:szCs w:val="22"/>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sz w:val="22"/>
                <w:szCs w:val="22"/>
              </w:rPr>
            </w:pPr>
            <w:r w:rsidRPr="00A12E1F">
              <w:rPr>
                <w:rFonts w:asciiTheme="minorHAnsi" w:hAnsiTheme="minorHAnsi" w:cstheme="minorHAnsi"/>
                <w:sz w:val="22"/>
                <w:szCs w:val="22"/>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sz w:val="22"/>
                <w:szCs w:val="22"/>
              </w:rPr>
            </w:pPr>
            <w:r w:rsidRPr="00A12E1F">
              <w:rPr>
                <w:rFonts w:asciiTheme="minorHAnsi" w:hAnsiTheme="minorHAnsi" w:cstheme="minorHAnsi"/>
                <w:sz w:val="22"/>
                <w:szCs w:val="22"/>
              </w:rPr>
              <w:t>38</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sz w:val="22"/>
                <w:szCs w:val="22"/>
              </w:rPr>
            </w:pPr>
            <w:r w:rsidRPr="00A12E1F">
              <w:rPr>
                <w:rFonts w:asciiTheme="minorHAnsi" w:hAnsiTheme="minorHAnsi" w:cstheme="minorHAnsi"/>
                <w:sz w:val="22"/>
                <w:szCs w:val="22"/>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sz w:val="22"/>
                <w:szCs w:val="22"/>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sz w:val="22"/>
                <w:szCs w:val="22"/>
              </w:rPr>
            </w:pPr>
            <w:r w:rsidRPr="00A12E1F">
              <w:rPr>
                <w:rFonts w:asciiTheme="minorHAnsi" w:hAnsiTheme="minorHAnsi" w:cstheme="minorHAnsi"/>
                <w:sz w:val="22"/>
                <w:szCs w:val="22"/>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sz w:val="22"/>
                <w:szCs w:val="22"/>
              </w:rPr>
            </w:pPr>
            <w:r w:rsidRPr="00A12E1F">
              <w:rPr>
                <w:rFonts w:asciiTheme="minorHAnsi" w:hAnsiTheme="minorHAnsi" w:cstheme="minorHAnsi"/>
                <w:sz w:val="22"/>
                <w:szCs w:val="22"/>
              </w:rPr>
              <w:t>38</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Figure 12</w:t>
            </w:r>
            <w:r w:rsidR="00E30D78" w:rsidRPr="007B0D15">
              <w:rPr>
                <w:rFonts w:asciiTheme="minorHAnsi" w:hAnsiTheme="minorHAnsi" w:cstheme="minorHAnsi"/>
                <w:sz w:val="22"/>
                <w:szCs w:val="22"/>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bl>
    <w:p w:rsidR="002D4D6D" w:rsidRDefault="002D4D6D" w:rsidP="00A12E1F"/>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AC68F9">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w:t>
            </w:r>
            <w:r w:rsidR="00A12E1F">
              <w:rPr>
                <w:rFonts w:asciiTheme="minorHAnsi" w:hAnsiTheme="minorHAnsi" w:cstheme="minorHAnsi"/>
                <w:sz w:val="22"/>
                <w:szCs w:val="22"/>
              </w:rPr>
              <w:t>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2</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3</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4</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12E1F" w:rsidP="00AC68F9">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Table 11</w:t>
            </w:r>
            <w:r w:rsidR="00AC68F9"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w:t>
            </w:r>
            <w:r w:rsidR="00A12E1F">
              <w:rPr>
                <w:rFonts w:asciiTheme="minorHAnsi" w:hAnsiTheme="minorHAnsi" w:cstheme="minorHAnsi"/>
                <w:sz w:val="22"/>
                <w:szCs w:val="22"/>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Default="00A744FE" w:rsidP="005B46C3"/>
    <w:p w:rsidR="00A744FE" w:rsidRPr="000C65BB" w:rsidRDefault="00526163" w:rsidP="005B46C3">
      <w:pPr>
        <w:pStyle w:val="Heading1"/>
        <w:spacing w:before="0" w:line="360" w:lineRule="auto"/>
        <w:ind w:left="0"/>
        <w:rPr>
          <w:szCs w:val="24"/>
        </w:rPr>
      </w:pPr>
      <w:bookmarkStart w:id="5" w:name="_Toc47857461"/>
      <w:r w:rsidRPr="00A744FE">
        <w:rPr>
          <w:szCs w:val="24"/>
        </w:rPr>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 xml:space="preserve">Advance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881C51">
        <w:rPr>
          <w:rFonts w:eastAsia="Calibri"/>
          <w:bCs/>
          <w:lang w:val="en-US" w:eastAsia="en-US"/>
        </w:rPr>
        <w:t>s</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Similarly, all technical indicators can be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volume indicators can be utilized as feature variables based on the input dataset and different classification models can be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w:t>
      </w:r>
      <w:r w:rsidR="00881C51">
        <w:rPr>
          <w:rFonts w:eastAsia="Calibri"/>
          <w:bCs/>
          <w:lang w:val="en-US" w:eastAsia="en-US"/>
        </w:rPr>
        <w:t xml:space="preserve">is </w:t>
      </w:r>
      <w:r w:rsidRPr="00B31C35">
        <w:rPr>
          <w:rFonts w:eastAsia="Calibri"/>
          <w:bCs/>
          <w:lang w:val="en-US" w:eastAsia="en-US"/>
        </w:rPr>
        <w:t xml:space="preserve">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w:t>
      </w:r>
      <w:r w:rsidR="0040068D">
        <w:rPr>
          <w:rFonts w:eastAsia="Calibri"/>
          <w:bCs/>
          <w:lang w:val="en-US" w:eastAsia="en-US"/>
        </w:rPr>
        <w:t xml:space="preserve">is </w:t>
      </w:r>
      <w:r w:rsidRPr="00B31C35">
        <w:rPr>
          <w:rFonts w:eastAsia="Calibri"/>
          <w:bCs/>
          <w:lang w:val="en-US" w:eastAsia="en-US"/>
        </w:rPr>
        <w:t xml:space="preserve">done for percentage change in close price between upper-band +0.5% and lower band -.0.5% </w:t>
      </w:r>
      <w:r w:rsidR="0040068D">
        <w:rPr>
          <w:rFonts w:eastAsia="Calibri"/>
          <w:bCs/>
          <w:lang w:val="en-US" w:eastAsia="en-US"/>
        </w:rPr>
        <w:t xml:space="preserve">and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F83DDE" w:rsidRPr="00B62D44">
        <w:rPr>
          <w:rFonts w:eastAsia="Calibri"/>
          <w:sz w:val="24"/>
          <w:szCs w:val="24"/>
        </w:rPr>
        <w:t xml:space="preserve"> prediction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lastRenderedPageBreak/>
        <w:t>Contents</w:t>
      </w:r>
    </w:p>
    <w:p w:rsidR="00797D76" w:rsidRDefault="00830468" w:rsidP="005B46C3">
      <w:pPr>
        <w:pStyle w:val="TOC1"/>
        <w:tabs>
          <w:tab w:val="right" w:leader="dot" w:pos="9020"/>
        </w:tabs>
        <w:rPr>
          <w:rFonts w:asciiTheme="minorHAnsi" w:eastAsiaTheme="minorEastAsia" w:hAnsiTheme="minorHAnsi" w:cstheme="minorBidi"/>
          <w:noProof/>
          <w:sz w:val="22"/>
          <w:szCs w:val="22"/>
        </w:rPr>
      </w:pPr>
      <w:r w:rsidRPr="00830468">
        <w:fldChar w:fldCharType="begin"/>
      </w:r>
      <w:r w:rsidR="00A744FE" w:rsidRPr="009D35D3">
        <w:instrText xml:space="preserve"> TOC \o "1-3" \h \z \u </w:instrText>
      </w:r>
      <w:r w:rsidRPr="00830468">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830468"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FC4E9D" w:rsidP="00FC4E9D">
      <w:pPr>
        <w:pStyle w:val="TOC1"/>
        <w:tabs>
          <w:tab w:val="right" w:leader="dot" w:pos="9020"/>
        </w:tabs>
        <w:rPr>
          <w:rFonts w:asciiTheme="minorHAnsi" w:eastAsiaTheme="minorEastAsia" w:hAnsiTheme="minorHAnsi" w:cstheme="minorBidi"/>
          <w:noProof/>
          <w:sz w:val="22"/>
          <w:szCs w:val="22"/>
        </w:rPr>
      </w:pPr>
      <w:hyperlink w:anchor="_Toc47857472" w:history="1">
        <w:r>
          <w:rPr>
            <w:rStyle w:val="Hyperlink"/>
            <w:rFonts w:eastAsia="Calibri"/>
            <w:noProof/>
            <w:lang w:eastAsia="en-US"/>
          </w:rPr>
          <w:t>Chapter 12</w:t>
        </w:r>
        <w:r w:rsidRPr="00D3362C">
          <w:rPr>
            <w:rStyle w:val="Hyperlink"/>
            <w:rFonts w:eastAsia="Calibri"/>
            <w:noProof/>
            <w:lang w:eastAsia="en-US"/>
          </w:rPr>
          <w:t>:  Deployment</w:t>
        </w:r>
        <w:r>
          <w:rPr>
            <w:noProof/>
            <w:webHidden/>
          </w:rPr>
          <w:tab/>
        </w:r>
        <w:r w:rsidR="00A9093B">
          <w:rPr>
            <w:noProof/>
            <w:webHidden/>
          </w:rPr>
          <w:t>40</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830468"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830468"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830468"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A9093B">
          <w:rPr>
            <w:noProof/>
            <w:webHidden/>
          </w:rPr>
          <w:t>47</w:t>
        </w:r>
      </w:hyperlink>
    </w:p>
    <w:p w:rsidR="00797D76" w:rsidRDefault="00830468"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A9093B">
          <w:rPr>
            <w:noProof/>
            <w:webHidden/>
          </w:rPr>
          <w:t>47</w:t>
        </w:r>
      </w:hyperlink>
    </w:p>
    <w:p w:rsidR="00A744FE" w:rsidRDefault="00830468"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830468">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830468">
        <w:rPr>
          <w:rFonts w:eastAsia="Calibri"/>
          <w:lang w:val="en-US" w:eastAsia="en-US"/>
        </w:rPr>
        <w:fldChar w:fldCharType="separate"/>
      </w:r>
      <w:r w:rsidR="007519C9" w:rsidRPr="007519C9">
        <w:rPr>
          <w:rFonts w:eastAsia="Calibri"/>
          <w:noProof/>
          <w:lang w:val="en-US" w:eastAsia="en-US"/>
        </w:rPr>
        <w:t>(Shah et al., 2019)</w:t>
      </w:r>
      <w:r w:rsidR="00830468">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830468">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830468">
        <w:fldChar w:fldCharType="separate"/>
      </w:r>
      <w:r w:rsidR="007519C9" w:rsidRPr="007519C9">
        <w:rPr>
          <w:noProof/>
        </w:rPr>
        <w:t>(Sonkiya et al., 2021)</w:t>
      </w:r>
      <w:r w:rsidR="00830468">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830468">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830468">
        <w:fldChar w:fldCharType="separate"/>
      </w:r>
      <w:r w:rsidR="007519C9" w:rsidRPr="007519C9">
        <w:rPr>
          <w:noProof/>
        </w:rPr>
        <w:t>(Huang et al., 2021)</w:t>
      </w:r>
      <w:r w:rsidR="00830468">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830468">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830468">
        <w:fldChar w:fldCharType="separate"/>
      </w:r>
      <w:r w:rsidR="00A07732" w:rsidRPr="00A07732">
        <w:rPr>
          <w:noProof/>
        </w:rPr>
        <w:t>(Rouf et al., 2021)</w:t>
      </w:r>
      <w:r w:rsidR="00830468">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AC3DE9">
        <w:t>n Day trading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830468">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830468">
        <w:fldChar w:fldCharType="separate"/>
      </w:r>
      <w:r w:rsidRPr="004E54C6">
        <w:rPr>
          <w:noProof/>
        </w:rPr>
        <w:t>(Rajkar et al., 2021)</w:t>
      </w:r>
      <w:r w:rsidR="00830468">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830468">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830468">
        <w:fldChar w:fldCharType="separate"/>
      </w:r>
      <w:r w:rsidR="004E54C6" w:rsidRPr="004E54C6">
        <w:rPr>
          <w:noProof/>
        </w:rPr>
        <w:t>(Hansen, 2020)</w:t>
      </w:r>
      <w:r w:rsidR="00830468">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830468">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830468">
        <w:fldChar w:fldCharType="separate"/>
      </w:r>
      <w:r w:rsidR="00015180" w:rsidRPr="00015180">
        <w:rPr>
          <w:noProof/>
        </w:rPr>
        <w:t>(Mukerji et al., 2019)</w:t>
      </w:r>
      <w:r w:rsidR="00830468">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830468">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830468">
        <w:fldChar w:fldCharType="separate"/>
      </w:r>
      <w:r w:rsidRPr="00015180">
        <w:rPr>
          <w:noProof/>
        </w:rPr>
        <w:t>(Elbialy, 2019)</w:t>
      </w:r>
      <w:r w:rsidR="00830468">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830468">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830468">
        <w:fldChar w:fldCharType="separate"/>
      </w:r>
      <w:r w:rsidRPr="00015180">
        <w:rPr>
          <w:noProof/>
        </w:rPr>
        <w:t>(Anjani &amp; Syarif, 2019)</w:t>
      </w:r>
      <w:r w:rsidR="00830468">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830468">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830468">
        <w:fldChar w:fldCharType="separate"/>
      </w:r>
      <w:r w:rsidR="00015180" w:rsidRPr="00015180">
        <w:rPr>
          <w:noProof/>
        </w:rPr>
        <w:t>(Faijareon &amp; Sornil, 2019)</w:t>
      </w:r>
      <w:r w:rsidR="00830468">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830468">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830468">
        <w:fldChar w:fldCharType="separate"/>
      </w:r>
      <w:r w:rsidR="00015180" w:rsidRPr="00015180">
        <w:rPr>
          <w:noProof/>
        </w:rPr>
        <w:t>(Thanekar &amp; Shaikh, 2021)</w:t>
      </w:r>
      <w:r w:rsidR="00830468">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830468">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830468">
        <w:fldChar w:fldCharType="separate"/>
      </w:r>
      <w:r w:rsidR="00015180" w:rsidRPr="00015180">
        <w:rPr>
          <w:noProof/>
        </w:rPr>
        <w:t>(Kimbonguila et al., 2019)</w:t>
      </w:r>
      <w:r w:rsidR="00830468">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830468">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830468">
        <w:fldChar w:fldCharType="separate"/>
      </w:r>
      <w:r w:rsidR="003E10D6" w:rsidRPr="003E10D6">
        <w:rPr>
          <w:noProof/>
        </w:rPr>
        <w:t>(Dahham &amp; Ibrahim, 2020)</w:t>
      </w:r>
      <w:r w:rsidR="00830468">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830468">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830468">
        <w:fldChar w:fldCharType="separate"/>
      </w:r>
      <w:r w:rsidRPr="003E10D6">
        <w:rPr>
          <w:noProof/>
        </w:rPr>
        <w:t>(Magner et al., 2021)</w:t>
      </w:r>
      <w:r w:rsidR="00830468">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830468">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830468">
        <w:fldChar w:fldCharType="separate"/>
      </w:r>
      <w:r w:rsidR="003E10D6" w:rsidRPr="003E10D6">
        <w:rPr>
          <w:noProof/>
        </w:rPr>
        <w:t>(Mohapatra &amp; Misra, 2020)</w:t>
      </w:r>
      <w:r w:rsidR="00830468">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830468">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830468">
        <w:fldChar w:fldCharType="separate"/>
      </w:r>
      <w:r w:rsidR="003E10D6" w:rsidRPr="003E10D6">
        <w:rPr>
          <w:noProof/>
        </w:rPr>
        <w:t>(Alhomadi, 2021)</w:t>
      </w:r>
      <w:r w:rsidR="00830468">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830468">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830468">
        <w:fldChar w:fldCharType="separate"/>
      </w:r>
      <w:r w:rsidR="003E10D6" w:rsidRPr="003E10D6">
        <w:rPr>
          <w:noProof/>
        </w:rPr>
        <w:t>(Omta et al., 2020)</w:t>
      </w:r>
      <w:r w:rsidR="00830468">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830468">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830468">
        <w:fldChar w:fldCharType="separate"/>
      </w:r>
      <w:r w:rsidR="003E10D6" w:rsidRPr="003E10D6">
        <w:rPr>
          <w:noProof/>
        </w:rPr>
        <w:t>(Dar, 2021)</w:t>
      </w:r>
      <w:r w:rsidR="00830468">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830468">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830468">
        <w:fldChar w:fldCharType="separate"/>
      </w:r>
      <w:r w:rsidRPr="0041148F">
        <w:rPr>
          <w:noProof/>
        </w:rPr>
        <w:t>(Al-Bairmani &amp; Ismael, 2021)</w:t>
      </w:r>
      <w:r w:rsidR="00830468">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830468">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830468">
        <w:fldChar w:fldCharType="separate"/>
      </w:r>
      <w:r w:rsidRPr="0041148F">
        <w:rPr>
          <w:noProof/>
        </w:rPr>
        <w:t>(Jena &amp; Dehuri, 2020)</w:t>
      </w:r>
      <w:r w:rsidR="00830468">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830468">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830468">
        <w:fldChar w:fldCharType="separate"/>
      </w:r>
      <w:r w:rsidR="0041148F" w:rsidRPr="0041148F">
        <w:rPr>
          <w:noProof/>
        </w:rPr>
        <w:t>(Hafeez et al., 2021)</w:t>
      </w:r>
      <w:r w:rsidR="00830468">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830468">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830468">
        <w:fldChar w:fldCharType="separate"/>
      </w:r>
      <w:r w:rsidRPr="0041148F">
        <w:rPr>
          <w:noProof/>
        </w:rPr>
        <w:t>(Schonlau &amp; Zou, 2020)</w:t>
      </w:r>
      <w:r w:rsidR="00830468">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830468">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830468">
        <w:fldChar w:fldCharType="separate"/>
      </w:r>
      <w:r w:rsidRPr="0041148F">
        <w:rPr>
          <w:noProof/>
        </w:rPr>
        <w:t>(Wang, 2019)</w:t>
      </w:r>
      <w:r w:rsidR="00830468">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830468">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830468">
        <w:fldChar w:fldCharType="separate"/>
      </w:r>
      <w:r w:rsidRPr="0041148F">
        <w:rPr>
          <w:noProof/>
        </w:rPr>
        <w:t>(Zhang et al., 2022)</w:t>
      </w:r>
      <w:r w:rsidR="00830468">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830468">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830468">
        <w:fldChar w:fldCharType="separate"/>
      </w:r>
      <w:r w:rsidR="0041148F" w:rsidRPr="0041148F">
        <w:rPr>
          <w:noProof/>
        </w:rPr>
        <w:t>(Silva &amp; Naranjo, 2020)</w:t>
      </w:r>
      <w:r w:rsidR="00830468">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830468">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830468">
        <w:fldChar w:fldCharType="separate"/>
      </w:r>
      <w:r w:rsidRPr="0041148F">
        <w:rPr>
          <w:noProof/>
        </w:rPr>
        <w:t>(Markoulidakis et al., 2021)</w:t>
      </w:r>
      <w:r w:rsidR="00830468">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830468">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830468">
        <w:rPr>
          <w:color w:val="202020"/>
          <w:shd w:val="clear" w:color="auto" w:fill="FFFFFF"/>
        </w:rPr>
        <w:fldChar w:fldCharType="separate"/>
      </w:r>
      <w:r w:rsidR="00175CC6" w:rsidRPr="00175CC6">
        <w:rPr>
          <w:noProof/>
          <w:color w:val="202020"/>
          <w:shd w:val="clear" w:color="auto" w:fill="FFFFFF"/>
        </w:rPr>
        <w:t>(Cornellius Yudha Wijaya, 2021)</w:t>
      </w:r>
      <w:r w:rsidR="00830468">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Pr="00C528E1">
        <w:t>RSI between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830468">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830468">
        <w:rPr>
          <w:b/>
          <w:bCs/>
        </w:rPr>
        <w:fldChar w:fldCharType="separate"/>
      </w:r>
      <w:r w:rsidRPr="00291E98">
        <w:rPr>
          <w:bCs/>
          <w:noProof/>
        </w:rPr>
        <w:t>(moneycontrol, n.d.)</w:t>
      </w:r>
      <w:r w:rsidR="00830468">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several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Pr>
          <w:rFonts w:eastAsia="Calibri"/>
        </w:rPr>
        <w:t>s</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 xml:space="preserve">Similarly, all technical indicators can be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can be utilized as </w:t>
      </w:r>
      <w:r w:rsidRPr="00E92C48">
        <w:rPr>
          <w:rFonts w:eastAsia="Calibri"/>
        </w:rPr>
        <w:lastRenderedPageBreak/>
        <w:t xml:space="preserve">feature variables based on the input dataset and different classification models can be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percentage change of the close price between upper-band +0.5% and lower band -0.5%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8F2C30" w:rsidP="008F2C30">
      <w:pPr>
        <w:jc w:val="both"/>
        <w:rPr>
          <w:lang w:val="en-US"/>
        </w:rPr>
      </w:pPr>
      <w:r w:rsidRPr="008F2C30">
        <w:rPr>
          <w:lang w:val="en-US"/>
        </w:rPr>
        <w:t>We have imported a real Data dump is imported for HDFC,</w:t>
      </w:r>
      <w:r w:rsidR="00140A8D">
        <w:rPr>
          <w:lang w:val="en-US"/>
        </w:rPr>
        <w:t xml:space="preserve"> </w:t>
      </w:r>
      <w:r w:rsidRPr="008F2C30">
        <w:rPr>
          <w:lang w:val="en-US"/>
        </w:rPr>
        <w:t>KOTAK</w:t>
      </w:r>
      <w:r w:rsidR="00140A8D">
        <w:rPr>
          <w:lang w:val="en-US"/>
        </w:rPr>
        <w:t>,</w:t>
      </w:r>
      <w:r w:rsidRPr="008F2C30">
        <w:rPr>
          <w:lang w:val="en-US"/>
        </w:rPr>
        <w:t xml:space="preserve"> and SBI stock </w:t>
      </w:r>
      <w:r w:rsidR="006E3EEC">
        <w:rPr>
          <w:lang w:val="en-US"/>
        </w:rPr>
        <w:t xml:space="preserve">between 2000 till 2022. </w:t>
      </w:r>
      <w:r w:rsidRPr="008F2C30">
        <w:rPr>
          <w:lang w:val="en-US"/>
        </w:rPr>
        <w:t>Then the Return, Variance</w:t>
      </w:r>
      <w:r w:rsidR="00140A8D">
        <w:rPr>
          <w:lang w:val="en-US"/>
        </w:rPr>
        <w:t>,</w:t>
      </w:r>
      <w:r w:rsidRPr="008F2C30">
        <w:rPr>
          <w:lang w:val="en-US"/>
        </w:rPr>
        <w:t xml:space="preserve"> and Volatility of these stocks are calculated following which the Annualized return to Risk ratio and finally</w:t>
      </w:r>
      <w:r w:rsidR="00140A8D">
        <w:rPr>
          <w:lang w:val="en-US"/>
        </w:rPr>
        <w:t>,</w:t>
      </w:r>
      <w:r w:rsidRPr="008F2C30">
        <w:rPr>
          <w:lang w:val="en-US"/>
        </w:rPr>
        <w:t xml:space="preserve"> the Sharpe ratio</w:t>
      </w:r>
      <w:r w:rsidR="00140A8D">
        <w:rPr>
          <w:lang w:val="en-US"/>
        </w:rPr>
        <w:t>s</w:t>
      </w:r>
      <w:r w:rsidRPr="008F2C30">
        <w:rPr>
          <w:lang w:val="en-US"/>
        </w:rPr>
        <w:t xml:space="preserve"> </w:t>
      </w:r>
      <w:r w:rsidR="00140A8D">
        <w:rPr>
          <w:lang w:val="en-US"/>
        </w:rPr>
        <w:t>are</w:t>
      </w:r>
      <w:r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lastRenderedPageBreak/>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40068D" w:rsidRPr="0040068D" w:rsidRDefault="00830468"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Huang, Y., Capretz, L. F., &amp; Ho, D. (2021). Machine Learning for Stock Prediction Based on Fundamental Analysis. </w:t>
      </w:r>
      <w:r w:rsidRPr="0040068D">
        <w:rPr>
          <w:i/>
          <w:iCs/>
          <w:noProof/>
        </w:rPr>
        <w:t>2021 IEEE Symposium Series on Computational Intelligence, 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Rouf, N., Malik, M. B., Arif, T., Sharma, S., Singh, S., Aich, S., &amp; Kim, H. C. (2021). Stock market prediction using machine learning techniques: A decade survey on 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830468"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830468"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13EB" w:rsidRDefault="003C13EB" w:rsidP="002C3450">
      <w:pPr>
        <w:spacing w:line="240" w:lineRule="auto"/>
      </w:pPr>
      <w:r>
        <w:separator/>
      </w:r>
    </w:p>
  </w:endnote>
  <w:endnote w:type="continuationSeparator" w:id="1">
    <w:p w:rsidR="003C13EB" w:rsidRDefault="003C13EB"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830468">
        <w:pPr>
          <w:pStyle w:val="Footer"/>
          <w:jc w:val="right"/>
        </w:pPr>
        <w:fldSimple w:instr=" PAGE   \* MERGEFORMAT ">
          <w:r w:rsidR="00A9093B">
            <w:rPr>
              <w:noProof/>
            </w:rPr>
            <w:t>9</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A9093B">
        <w:rPr>
          <w:noProof/>
        </w:rPr>
        <w:t>10</w:t>
      </w:r>
    </w:fldSimple>
    <w:r w:rsidRPr="00182B74">
      <w:t xml:space="preserve"> of </w:t>
    </w:r>
    <w:fldSimple w:instr=" NUMPAGES  \* Arabic  \* MERGEFORMAT ">
      <w:r w:rsidR="00A9093B">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13EB" w:rsidRDefault="003C13EB" w:rsidP="00A744FE">
      <w:pPr>
        <w:spacing w:line="240" w:lineRule="auto"/>
      </w:pPr>
      <w:r>
        <w:separator/>
      </w:r>
    </w:p>
  </w:footnote>
  <w:footnote w:type="continuationSeparator" w:id="1">
    <w:p w:rsidR="003C13EB" w:rsidRDefault="003C13EB"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14338"/>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sxNagGWnPPy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33A3"/>
    <w:rsid w:val="00185096"/>
    <w:rsid w:val="00186C77"/>
    <w:rsid w:val="00196E4E"/>
    <w:rsid w:val="001973F9"/>
    <w:rsid w:val="001A09ED"/>
    <w:rsid w:val="001A1656"/>
    <w:rsid w:val="001A3288"/>
    <w:rsid w:val="001A4D64"/>
    <w:rsid w:val="001A6577"/>
    <w:rsid w:val="001B0ED0"/>
    <w:rsid w:val="001B2F72"/>
    <w:rsid w:val="001B3245"/>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72544"/>
    <w:rsid w:val="00272D31"/>
    <w:rsid w:val="0027393C"/>
    <w:rsid w:val="002761E3"/>
    <w:rsid w:val="00276943"/>
    <w:rsid w:val="00276ED0"/>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44CA"/>
    <w:rsid w:val="003A5832"/>
    <w:rsid w:val="003A6327"/>
    <w:rsid w:val="003A6728"/>
    <w:rsid w:val="003A6C82"/>
    <w:rsid w:val="003A7972"/>
    <w:rsid w:val="003B2BB4"/>
    <w:rsid w:val="003B30B7"/>
    <w:rsid w:val="003B3EF1"/>
    <w:rsid w:val="003B5A1A"/>
    <w:rsid w:val="003B5FFD"/>
    <w:rsid w:val="003B676F"/>
    <w:rsid w:val="003B6CE8"/>
    <w:rsid w:val="003B78E6"/>
    <w:rsid w:val="003C0BB4"/>
    <w:rsid w:val="003C13EB"/>
    <w:rsid w:val="003C1DB7"/>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41DC"/>
    <w:rsid w:val="00715A5F"/>
    <w:rsid w:val="0071732E"/>
    <w:rsid w:val="00717C7F"/>
    <w:rsid w:val="007207CC"/>
    <w:rsid w:val="007208F1"/>
    <w:rsid w:val="00720B44"/>
    <w:rsid w:val="007241AF"/>
    <w:rsid w:val="00726D98"/>
    <w:rsid w:val="0072775D"/>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2223"/>
    <w:rsid w:val="009A3242"/>
    <w:rsid w:val="009A4741"/>
    <w:rsid w:val="009A47B4"/>
    <w:rsid w:val="009A51E0"/>
    <w:rsid w:val="009A5A19"/>
    <w:rsid w:val="009A7609"/>
    <w:rsid w:val="009B41FD"/>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330"/>
    <w:rsid w:val="00D3362C"/>
    <w:rsid w:val="00D34AA9"/>
    <w:rsid w:val="00D34FD4"/>
    <w:rsid w:val="00D351DE"/>
    <w:rsid w:val="00D35440"/>
    <w:rsid w:val="00D35F15"/>
    <w:rsid w:val="00D3675A"/>
    <w:rsid w:val="00D36F72"/>
    <w:rsid w:val="00D415E7"/>
    <w:rsid w:val="00D43EED"/>
    <w:rsid w:val="00D4570C"/>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90497"/>
    <w:rsid w:val="00E92B5D"/>
    <w:rsid w:val="00E930B2"/>
    <w:rsid w:val="00E932AC"/>
    <w:rsid w:val="00E93CBF"/>
    <w:rsid w:val="00E94C1D"/>
    <w:rsid w:val="00E9581F"/>
    <w:rsid w:val="00EA00AD"/>
    <w:rsid w:val="00EA0B07"/>
    <w:rsid w:val="00EA38A0"/>
    <w:rsid w:val="00EB14A5"/>
    <w:rsid w:val="00EB2D33"/>
    <w:rsid w:val="00EB3DE6"/>
    <w:rsid w:val="00EB480D"/>
    <w:rsid w:val="00EB58C9"/>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7B1C"/>
    <w:rsid w:val="00F31089"/>
    <w:rsid w:val="00F315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6514</TotalTime>
  <Pages>47</Pages>
  <Words>18276</Words>
  <Characters>104175</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1311</cp:revision>
  <cp:lastPrinted>2022-08-16T02:55:00Z</cp:lastPrinted>
  <dcterms:created xsi:type="dcterms:W3CDTF">2020-10-12T10:08:00Z</dcterms:created>
  <dcterms:modified xsi:type="dcterms:W3CDTF">2023-02-01T05:50:00Z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