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ED193C">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ED193C">
        <w:fldChar w:fldCharType="separate"/>
      </w:r>
      <w:r w:rsidR="007A1BE0" w:rsidRPr="007A1BE0">
        <w:rPr>
          <w:noProof/>
        </w:rPr>
        <w:t>[1]</w:t>
      </w:r>
      <w:r w:rsidR="00ED193C">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ED193C">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ED193C">
        <w:fldChar w:fldCharType="separate"/>
      </w:r>
      <w:r w:rsidR="007A1BE0" w:rsidRPr="007A1BE0">
        <w:rPr>
          <w:noProof/>
        </w:rPr>
        <w:t>[2]</w:t>
      </w:r>
      <w:r w:rsidR="00ED193C">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ED193C">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ED193C">
        <w:fldChar w:fldCharType="separate"/>
      </w:r>
      <w:r w:rsidR="007A1BE0" w:rsidRPr="007A1BE0">
        <w:rPr>
          <w:noProof/>
        </w:rPr>
        <w:t>[3]</w:t>
      </w:r>
      <w:r w:rsidR="00ED193C">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ED193C">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ED193C">
        <w:fldChar w:fldCharType="separate"/>
      </w:r>
      <w:r w:rsidR="007A1BE0" w:rsidRPr="007A1BE0">
        <w:rPr>
          <w:noProof/>
        </w:rPr>
        <w:t>[4]</w:t>
      </w:r>
      <w:r w:rsidR="00ED193C">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ED193C">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ED193C">
        <w:fldChar w:fldCharType="separate"/>
      </w:r>
      <w:r w:rsidR="007A1BE0" w:rsidRPr="007A1BE0">
        <w:rPr>
          <w:noProof/>
        </w:rPr>
        <w:t>[5]</w:t>
      </w:r>
      <w:r w:rsidR="00ED193C">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ED193C">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ED193C">
        <w:fldChar w:fldCharType="separate"/>
      </w:r>
      <w:r w:rsidR="007A1BE0" w:rsidRPr="007A1BE0">
        <w:rPr>
          <w:noProof/>
        </w:rPr>
        <w:t>[6]</w:t>
      </w:r>
      <w:r w:rsidR="00ED193C">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ED193C">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ED193C">
        <w:fldChar w:fldCharType="separate"/>
      </w:r>
      <w:r w:rsidR="007A1BE0" w:rsidRPr="007A1BE0">
        <w:rPr>
          <w:noProof/>
        </w:rPr>
        <w:t>[7]</w:t>
      </w:r>
      <w:r w:rsidR="00ED193C">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ED193C">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ED193C">
        <w:fldChar w:fldCharType="separate"/>
      </w:r>
      <w:r w:rsidR="007A1BE0" w:rsidRPr="007A1BE0">
        <w:rPr>
          <w:noProof/>
        </w:rPr>
        <w:t>[8]</w:t>
      </w:r>
      <w:r w:rsidR="00ED193C">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ED193C">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ED193C">
        <w:fldChar w:fldCharType="separate"/>
      </w:r>
      <w:r w:rsidR="007A1BE0" w:rsidRPr="007A1BE0">
        <w:rPr>
          <w:noProof/>
        </w:rPr>
        <w:t>[9]</w:t>
      </w:r>
      <w:r w:rsidR="00ED193C">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ED193C">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ED193C">
        <w:fldChar w:fldCharType="separate"/>
      </w:r>
      <w:r w:rsidR="007A1BE0" w:rsidRPr="007A1BE0">
        <w:rPr>
          <w:noProof/>
        </w:rPr>
        <w:t>[10]</w:t>
      </w:r>
      <w:r w:rsidR="00ED193C">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ED193C">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ED193C">
        <w:fldChar w:fldCharType="separate"/>
      </w:r>
      <w:r w:rsidR="007A1BE0" w:rsidRPr="007A1BE0">
        <w:rPr>
          <w:noProof/>
        </w:rPr>
        <w:t>[11]</w:t>
      </w:r>
      <w:r w:rsidR="00ED193C">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ED193C">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ED193C">
        <w:fldChar w:fldCharType="separate"/>
      </w:r>
      <w:r w:rsidR="007A1BE0" w:rsidRPr="007A1BE0">
        <w:rPr>
          <w:noProof/>
        </w:rPr>
        <w:t>[12]</w:t>
      </w:r>
      <w:r w:rsidR="00ED193C">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ED193C">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ED193C">
        <w:fldChar w:fldCharType="separate"/>
      </w:r>
      <w:r w:rsidR="007A1BE0" w:rsidRPr="007A1BE0">
        <w:rPr>
          <w:noProof/>
        </w:rPr>
        <w:t>[13]</w:t>
      </w:r>
      <w:r w:rsidR="00ED193C">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ED193C">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ED193C">
        <w:fldChar w:fldCharType="separate"/>
      </w:r>
      <w:r w:rsidR="007A1BE0" w:rsidRPr="007A1BE0">
        <w:rPr>
          <w:noProof/>
        </w:rPr>
        <w:t>[14]</w:t>
      </w:r>
      <w:r w:rsidR="00ED193C">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ED193C">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ED193C">
        <w:fldChar w:fldCharType="separate"/>
      </w:r>
      <w:r w:rsidR="00356C74" w:rsidRPr="00356C74">
        <w:rPr>
          <w:noProof/>
        </w:rPr>
        <w:t>[15]</w:t>
      </w:r>
      <w:r w:rsidR="00ED193C">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ED193C">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ED193C">
        <w:fldChar w:fldCharType="separate"/>
      </w:r>
      <w:r w:rsidR="00356C74" w:rsidRPr="00356C74">
        <w:rPr>
          <w:noProof/>
        </w:rPr>
        <w:t>[16]</w:t>
      </w:r>
      <w:r w:rsidR="00ED193C">
        <w:fldChar w:fldCharType="end"/>
      </w:r>
      <w:r>
        <w:t xml:space="preserve">. Wang studied k nearest neighbours and informs that it is the most popular statistical technique utilized in pattern identification over the last </w:t>
      </w:r>
      <w:r w:rsidR="00356C74">
        <w:t xml:space="preserve">four decades </w:t>
      </w:r>
      <w:r w:rsidR="00ED193C">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ED193C">
        <w:fldChar w:fldCharType="separate"/>
      </w:r>
      <w:r w:rsidR="00356C74" w:rsidRPr="00356C74">
        <w:rPr>
          <w:noProof/>
        </w:rPr>
        <w:t>[17]</w:t>
      </w:r>
      <w:r w:rsidR="00ED193C">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ED193C">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ED193C">
        <w:fldChar w:fldCharType="separate"/>
      </w:r>
      <w:r w:rsidR="00356C74" w:rsidRPr="00356C74">
        <w:rPr>
          <w:noProof/>
        </w:rPr>
        <w:t>[18]</w:t>
      </w:r>
      <w:r w:rsidR="00ED193C">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ED193C">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ED193C">
        <w:fldChar w:fldCharType="separate"/>
      </w:r>
      <w:r w:rsidR="00356C74" w:rsidRPr="00356C74">
        <w:rPr>
          <w:noProof/>
        </w:rPr>
        <w:t>[19]</w:t>
      </w:r>
      <w:r w:rsidR="00ED193C">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C00312"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p>
    <w:p w:rsidR="00C00312" w:rsidRDefault="00C00312" w:rsidP="00B66D99">
      <w:pPr>
        <w:pStyle w:val="BodyText"/>
      </w:pPr>
    </w:p>
    <w:p w:rsidR="00C00312" w:rsidRDefault="00992C7A" w:rsidP="00B66D99">
      <w:pPr>
        <w:pStyle w:val="BodyText"/>
      </w:pPr>
      <w:r>
        <w:t>The</w:t>
      </w:r>
      <w:r w:rsidRPr="002239E9">
        <w:rPr>
          <w:i/>
        </w:rPr>
        <w:t xml:space="preserve"> symb</w:t>
      </w:r>
      <w:r>
        <w:t>ol</w:t>
      </w:r>
      <w:r w:rsidR="00435FDC">
        <w:t xml:space="preserve"> column tells the corporate symbol mentioned for the stock. The </w:t>
      </w:r>
      <w:r w:rsidR="00435FDC" w:rsidRPr="00B95D60">
        <w:rPr>
          <w:i/>
        </w:rPr>
        <w:t>ope</w:t>
      </w:r>
      <w:r w:rsidR="00435FDC" w:rsidRPr="00B95D60">
        <w:rPr>
          <w:i/>
        </w:rPr>
        <w:t>n</w:t>
      </w:r>
      <w:r w:rsidR="00435FDC" w:rsidRPr="00B95D60">
        <w:rPr>
          <w:i/>
        </w:rPr>
        <w:t>ing price</w:t>
      </w:r>
      <w:r w:rsidR="00435FDC">
        <w:t xml:space="preserve"> is the first trade worth that </w:t>
      </w:r>
      <w:r w:rsidR="000A4AED">
        <w:t>is</w:t>
      </w:r>
      <w:r w:rsidR="00435FDC">
        <w:t xml:space="preserve"> recorded throughout the day’s trading. The </w:t>
      </w:r>
      <w:r w:rsidR="00435FDC" w:rsidRPr="00B95D60">
        <w:rPr>
          <w:i/>
        </w:rPr>
        <w:t>high and low</w:t>
      </w:r>
      <w:r w:rsidR="00435FDC">
        <w:t xml:space="preserve"> is the highest and lowest value respectively at that a stock is listed during a period. </w:t>
      </w:r>
    </w:p>
    <w:p w:rsidR="00C00312" w:rsidRDefault="00C00312" w:rsidP="00B66D99">
      <w:pPr>
        <w:pStyle w:val="BodyText"/>
      </w:pPr>
    </w:p>
    <w:p w:rsidR="00C00312" w:rsidRDefault="00435FDC" w:rsidP="00B66D99">
      <w:pPr>
        <w:pStyle w:val="BodyText"/>
      </w:pPr>
      <w:r>
        <w:t xml:space="preserve">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w:t>
      </w:r>
    </w:p>
    <w:p w:rsidR="00C00312" w:rsidRDefault="00C00312" w:rsidP="00B66D99">
      <w:pPr>
        <w:pStyle w:val="BodyText"/>
      </w:pPr>
    </w:p>
    <w:p w:rsidR="005E2779" w:rsidRDefault="00435FDC" w:rsidP="00B66D99">
      <w:pPr>
        <w:pStyle w:val="BodyText"/>
      </w:pPr>
      <w:r w:rsidRPr="00E84295">
        <w:t>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10140" w:type="dxa"/>
        <w:jc w:val="center"/>
        <w:tblLayout w:type="fixed"/>
        <w:tblLook w:val="04A0"/>
      </w:tblPr>
      <w:tblGrid>
        <w:gridCol w:w="3306"/>
        <w:gridCol w:w="3504"/>
        <w:gridCol w:w="3330"/>
      </w:tblGrid>
      <w:tr w:rsidR="00F4770E" w:rsidTr="00426033">
        <w:trPr>
          <w:trHeight w:val="3887"/>
          <w:jc w:val="center"/>
        </w:trPr>
        <w:tc>
          <w:tcPr>
            <w:tcW w:w="3306" w:type="dxa"/>
            <w:vAlign w:val="center"/>
          </w:tcPr>
          <w:p w:rsidR="0054576F" w:rsidRDefault="00B84138" w:rsidP="00426033">
            <w:pPr>
              <w:ind w:firstLine="0"/>
              <w:jc w:val="left"/>
            </w:pPr>
            <w:r>
              <w:rPr>
                <w:noProof/>
              </w:rPr>
              <w:drawing>
                <wp:inline distT="0" distB="0" distL="0" distR="0">
                  <wp:extent cx="1924050" cy="1217478"/>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24050" cy="1217478"/>
                          </a:xfrm>
                          <a:prstGeom prst="rect">
                            <a:avLst/>
                          </a:prstGeom>
                          <a:noFill/>
                          <a:ln w="9525">
                            <a:noFill/>
                            <a:miter lim="800000"/>
                            <a:headEnd/>
                            <a:tailEnd/>
                          </a:ln>
                        </pic:spPr>
                      </pic:pic>
                    </a:graphicData>
                  </a:graphic>
                </wp:inline>
              </w:drawing>
            </w:r>
          </w:p>
        </w:tc>
        <w:tc>
          <w:tcPr>
            <w:tcW w:w="3504" w:type="dxa"/>
            <w:vAlign w:val="center"/>
          </w:tcPr>
          <w:p w:rsidR="0054576F" w:rsidRDefault="00B84138" w:rsidP="00B84138">
            <w:pPr>
              <w:ind w:firstLine="0"/>
              <w:jc w:val="left"/>
            </w:pPr>
            <w:r>
              <w:rPr>
                <w:noProof/>
              </w:rPr>
              <w:drawing>
                <wp:inline distT="0" distB="0" distL="0" distR="0">
                  <wp:extent cx="2023939" cy="137160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330" w:type="dxa"/>
            <w:vAlign w:val="center"/>
          </w:tcPr>
          <w:p w:rsidR="0054576F" w:rsidRDefault="00F4770E" w:rsidP="00426033">
            <w:pPr>
              <w:ind w:firstLine="0"/>
              <w:jc w:val="left"/>
            </w:pPr>
            <w:r>
              <w:rPr>
                <w:noProof/>
              </w:rPr>
              <w:drawing>
                <wp:inline distT="0" distB="0" distL="0" distR="0">
                  <wp:extent cx="1905000" cy="13314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5494" w:type="dxa"/>
        <w:tblLook w:val="04A0"/>
      </w:tblPr>
      <w:tblGrid>
        <w:gridCol w:w="5676"/>
      </w:tblGrid>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438525" cy="1797581"/>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lastRenderedPageBreak/>
              <w:drawing>
                <wp:inline distT="0" distB="0" distL="0" distR="0">
                  <wp:extent cx="3438525" cy="184233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390900" cy="178003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9942CB">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DC636C" w:rsidRDefault="00DC636C" w:rsidP="00DC636C">
      <w:pPr>
        <w:pStyle w:val="p1a"/>
        <w:jc w:val="left"/>
        <w:rPr>
          <w:b/>
          <w:sz w:val="18"/>
          <w:szCs w:val="18"/>
        </w:rPr>
      </w:pPr>
    </w:p>
    <w:p w:rsidR="00F119A9" w:rsidRPr="005F7473" w:rsidRDefault="00DB0735" w:rsidP="00DC636C">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DC636C">
      <w:pPr>
        <w:ind w:firstLine="0"/>
        <w:jc w:val="left"/>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351" w:type="dxa"/>
        <w:jc w:val="center"/>
        <w:tblLayout w:type="fixed"/>
        <w:tblLook w:val="04A0"/>
      </w:tblPr>
      <w:tblGrid>
        <w:gridCol w:w="3117"/>
        <w:gridCol w:w="3117"/>
        <w:gridCol w:w="3117"/>
      </w:tblGrid>
      <w:tr w:rsidR="00F1008C" w:rsidTr="00057CB8">
        <w:trPr>
          <w:trHeight w:val="2589"/>
          <w:jc w:val="center"/>
        </w:trPr>
        <w:tc>
          <w:tcPr>
            <w:tcW w:w="3117" w:type="dxa"/>
            <w:vAlign w:val="center"/>
          </w:tcPr>
          <w:p w:rsidR="00AA4630" w:rsidRDefault="006D02D5" w:rsidP="00F1008C">
            <w:pPr>
              <w:ind w:firstLine="0"/>
              <w:jc w:val="left"/>
              <w:rPr>
                <w:sz w:val="18"/>
                <w:szCs w:val="18"/>
              </w:rPr>
            </w:pPr>
            <w:r>
              <w:rPr>
                <w:noProof/>
                <w:sz w:val="18"/>
                <w:szCs w:val="18"/>
              </w:rPr>
              <w:drawing>
                <wp:inline distT="0" distB="0" distL="0" distR="0">
                  <wp:extent cx="1905000" cy="13811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tc>
        <w:tc>
          <w:tcPr>
            <w:tcW w:w="3117" w:type="dxa"/>
            <w:vAlign w:val="center"/>
          </w:tcPr>
          <w:p w:rsidR="00AA4630" w:rsidRDefault="006D02D5" w:rsidP="00F1008C">
            <w:pPr>
              <w:ind w:firstLine="0"/>
              <w:jc w:val="left"/>
              <w:rPr>
                <w:sz w:val="18"/>
                <w:szCs w:val="18"/>
              </w:rPr>
            </w:pPr>
            <w:r>
              <w:rPr>
                <w:noProof/>
                <w:sz w:val="18"/>
                <w:szCs w:val="18"/>
              </w:rPr>
              <w:drawing>
                <wp:inline distT="0" distB="0" distL="0" distR="0">
                  <wp:extent cx="1905000" cy="13906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3620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tc>
      </w:tr>
      <w:tr w:rsidR="00F1008C" w:rsidTr="00057CB8">
        <w:trPr>
          <w:trHeight w:val="2589"/>
          <w:jc w:val="center"/>
        </w:trPr>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192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192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00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r>
      <w:tr w:rsidR="006D02D5" w:rsidTr="00057CB8">
        <w:trPr>
          <w:trHeight w:val="2589"/>
          <w:jc w:val="center"/>
        </w:trPr>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409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tc>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400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390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lastRenderedPageBreak/>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Computed variables added to the dataset are simple and exponential moving averages for rolling periods of seven, thirteen, twenty, hundred, and two hundred days. The one 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t>Table 3.</w:t>
      </w:r>
      <w:r w:rsidRPr="008943BC">
        <w:t>Model evaluation using logistic regression classifier</w:t>
      </w:r>
    </w:p>
    <w:p w:rsidR="00BF3A06" w:rsidRPr="00BF3A06" w:rsidRDefault="00BF3A06" w:rsidP="00BF3A0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B838B3">
        <w:trPr>
          <w:jc w:val="center"/>
        </w:trPr>
        <w:tc>
          <w:tcPr>
            <w:tcW w:w="1998" w:type="dxa"/>
            <w:tcBorders>
              <w:top w:val="single" w:sz="4" w:space="0" w:color="auto"/>
              <w:bottom w:val="single" w:sz="4" w:space="0" w:color="auto"/>
            </w:tcBorders>
            <w:shd w:val="clear" w:color="auto" w:fill="auto"/>
            <w:vAlign w:val="center"/>
          </w:tcPr>
          <w:p w:rsidR="00B838B3"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B838B3">
        <w:trPr>
          <w:jc w:val="center"/>
        </w:trPr>
        <w:tc>
          <w:tcPr>
            <w:tcW w:w="1998" w:type="dxa"/>
            <w:tcBorders>
              <w:top w:val="single" w:sz="4" w:space="0" w:color="auto"/>
            </w:tcBorders>
            <w:vAlign w:val="center"/>
          </w:tcPr>
          <w:p w:rsidR="00B838B3"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B838B3">
        <w:trPr>
          <w:jc w:val="center"/>
        </w:trPr>
        <w:tc>
          <w:tcPr>
            <w:tcW w:w="1998" w:type="dxa"/>
            <w:tcBorders>
              <w:bottom w:val="single" w:sz="4" w:space="0" w:color="auto"/>
            </w:tcBorders>
            <w:vAlign w:val="center"/>
          </w:tcPr>
          <w:p w:rsidR="00B838B3" w:rsidRPr="00504F48" w:rsidRDefault="008943BC" w:rsidP="00E8320D">
            <w:pPr>
              <w:pStyle w:val="figurecaption"/>
              <w:numPr>
                <w:ilvl w:val="0"/>
                <w:numId w:val="0"/>
              </w:numPr>
              <w:jc w:val="left"/>
            </w:pPr>
            <w:r w:rsidRPr="00504F48">
              <w:t>Go long direction prediction using volatility indicators</w:t>
            </w:r>
          </w:p>
        </w:tc>
        <w:tc>
          <w:tcPr>
            <w:tcW w:w="1568"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057CB8" w:rsidRDefault="00057CB8" w:rsidP="00E8320D">
      <w:pPr>
        <w:pStyle w:val="BodyText"/>
        <w:ind w:firstLine="0"/>
      </w:pPr>
    </w:p>
    <w:p w:rsidR="00E64334" w:rsidRDefault="00E64334" w:rsidP="007D3696">
      <w:pPr>
        <w:pStyle w:val="heading2"/>
      </w:pPr>
      <w:r w:rsidRPr="008943BC">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081ED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081EDA">
        <w:trPr>
          <w:jc w:val="center"/>
        </w:trPr>
        <w:tc>
          <w:tcPr>
            <w:tcW w:w="2087" w:type="dxa"/>
            <w:tcBorders>
              <w:top w:val="single" w:sz="4" w:space="0" w:color="auto"/>
              <w:left w:val="nil"/>
              <w:bottom w:val="nil"/>
              <w:right w:val="nil"/>
            </w:tcBorders>
            <w:vAlign w:val="center"/>
          </w:tcPr>
          <w:p w:rsidR="0010072F" w:rsidRDefault="0010072F" w:rsidP="007D3696">
            <w:pPr>
              <w:ind w:firstLine="0"/>
              <w:jc w:val="left"/>
              <w:rPr>
                <w:sz w:val="16"/>
                <w:szCs w:val="16"/>
              </w:rPr>
            </w:pPr>
          </w:p>
          <w:p w:rsidR="00081EDA" w:rsidRDefault="00081EDA"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Default="0095720F" w:rsidP="007D3696">
            <w:pPr>
              <w:ind w:firstLine="0"/>
              <w:jc w:val="left"/>
              <w:rPr>
                <w:sz w:val="16"/>
                <w:szCs w:val="16"/>
              </w:rPr>
            </w:pPr>
          </w:p>
          <w:p w:rsidR="007B3D6F" w:rsidRPr="004E188B" w:rsidRDefault="007B3D6F" w:rsidP="007D3696">
            <w:pPr>
              <w:ind w:firstLine="0"/>
              <w:jc w:val="left"/>
              <w:rPr>
                <w:sz w:val="16"/>
                <w:szCs w:val="16"/>
              </w:rPr>
            </w:pPr>
          </w:p>
        </w:tc>
        <w:tc>
          <w:tcPr>
            <w:tcW w:w="1479"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081EDA">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Go long direction prediction using volume Indicators</w:t>
            </w:r>
          </w:p>
          <w:p w:rsidR="0095720F" w:rsidRDefault="0095720F" w:rsidP="005010DF">
            <w:pPr>
              <w:ind w:firstLine="0"/>
              <w:jc w:val="left"/>
              <w:rPr>
                <w:sz w:val="16"/>
                <w:szCs w:val="16"/>
              </w:rPr>
            </w:pPr>
          </w:p>
          <w:p w:rsidR="007B3D6F" w:rsidRPr="004E188B" w:rsidRDefault="007B3D6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7B3D6F">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Go long direction prediction using momentum indicators</w:t>
            </w:r>
          </w:p>
          <w:p w:rsidR="0095720F" w:rsidRDefault="0095720F" w:rsidP="005010DF">
            <w:pPr>
              <w:ind w:firstLine="0"/>
              <w:jc w:val="left"/>
              <w:rPr>
                <w:sz w:val="16"/>
                <w:szCs w:val="16"/>
              </w:rPr>
            </w:pPr>
          </w:p>
          <w:p w:rsidR="007B3D6F" w:rsidRPr="004E188B" w:rsidRDefault="007B3D6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081EDA">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7B3D6F" w:rsidRDefault="007B3D6F" w:rsidP="005010DF">
            <w:pPr>
              <w:ind w:firstLine="0"/>
              <w:jc w:val="left"/>
              <w:rPr>
                <w:sz w:val="16"/>
                <w:szCs w:val="16"/>
              </w:rPr>
            </w:pPr>
          </w:p>
          <w:p w:rsidR="0095720F" w:rsidRPr="004E188B" w:rsidRDefault="0095720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081EDA">
        <w:trPr>
          <w:jc w:val="center"/>
        </w:trPr>
        <w:tc>
          <w:tcPr>
            <w:tcW w:w="2087" w:type="dxa"/>
            <w:tcBorders>
              <w:top w:val="nil"/>
              <w:left w:val="nil"/>
              <w:bottom w:val="single" w:sz="4" w:space="0" w:color="auto"/>
              <w:right w:val="nil"/>
            </w:tcBorders>
            <w:vAlign w:val="center"/>
          </w:tcPr>
          <w:p w:rsidR="00081EDA" w:rsidRDefault="00081EDA" w:rsidP="005010DF">
            <w:pPr>
              <w:ind w:firstLine="0"/>
              <w:jc w:val="left"/>
              <w:rPr>
                <w:sz w:val="16"/>
                <w:szCs w:val="16"/>
              </w:rPr>
            </w:pPr>
          </w:p>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081EDA" w:rsidRDefault="00081EDA" w:rsidP="005010DF">
            <w:pPr>
              <w:ind w:firstLine="0"/>
              <w:jc w:val="left"/>
              <w:rPr>
                <w:sz w:val="16"/>
                <w:szCs w:val="16"/>
              </w:rPr>
            </w:pPr>
          </w:p>
          <w:p w:rsidR="0095720F" w:rsidRPr="004E188B" w:rsidRDefault="0095720F" w:rsidP="005010DF">
            <w:pPr>
              <w:ind w:firstLine="0"/>
              <w:jc w:val="left"/>
              <w:rPr>
                <w:sz w:val="16"/>
                <w:szCs w:val="16"/>
              </w:rPr>
            </w:pPr>
          </w:p>
        </w:tc>
        <w:tc>
          <w:tcPr>
            <w:tcW w:w="1479"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057CB8" w:rsidRDefault="00057CB8" w:rsidP="00AC19D7">
      <w:pPr>
        <w:ind w:firstLine="0"/>
      </w:pPr>
    </w:p>
    <w:p w:rsidR="00081EDA" w:rsidRDefault="00081EDA" w:rsidP="00AC19D7">
      <w:pPr>
        <w:ind w:firstLine="0"/>
      </w:pPr>
    </w:p>
    <w:p w:rsidR="00E64334" w:rsidRPr="00E64334" w:rsidRDefault="00BF3A06" w:rsidP="007D3696">
      <w:pPr>
        <w:pStyle w:val="heading2"/>
      </w:pPr>
      <w:r>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081EDA">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Default="00E64334" w:rsidP="0095720F">
            <w:pPr>
              <w:jc w:val="left"/>
              <w:rPr>
                <w:bCs/>
                <w:color w:val="000000"/>
                <w:sz w:val="16"/>
                <w:szCs w:val="16"/>
              </w:rPr>
            </w:pPr>
            <w:r w:rsidRPr="0095720F">
              <w:rPr>
                <w:bCs/>
                <w:color w:val="000000"/>
                <w:sz w:val="16"/>
                <w:szCs w:val="16"/>
              </w:rPr>
              <w:t>Modelling strategies</w:t>
            </w:r>
          </w:p>
          <w:p w:rsidR="00081EDA" w:rsidRPr="0095720F" w:rsidRDefault="00081EDA" w:rsidP="0095720F">
            <w:pPr>
              <w:jc w:val="left"/>
              <w:rPr>
                <w:bCs/>
                <w:color w:val="000000"/>
                <w:sz w:val="16"/>
                <w:szCs w:val="16"/>
              </w:rPr>
            </w:pP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081EDA">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Go long direction prediction using trend indicators </w:t>
            </w:r>
          </w:p>
          <w:p w:rsidR="00081EDA" w:rsidRPr="00504F48" w:rsidRDefault="00081EDA"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081EDA">
        <w:trPr>
          <w:jc w:val="center"/>
        </w:trPr>
        <w:tc>
          <w:tcPr>
            <w:tcW w:w="2466" w:type="dxa"/>
            <w:tcBorders>
              <w:bottom w:val="single" w:sz="4" w:space="0" w:color="auto"/>
            </w:tcBorders>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Default="0095720F" w:rsidP="007D3696">
            <w:pPr>
              <w:ind w:firstLine="0"/>
              <w:jc w:val="left"/>
              <w:rPr>
                <w:sz w:val="16"/>
                <w:szCs w:val="16"/>
              </w:rPr>
            </w:pPr>
          </w:p>
          <w:p w:rsidR="00081EDA" w:rsidRPr="00504F48" w:rsidRDefault="00081EDA" w:rsidP="007D3696">
            <w:pPr>
              <w:ind w:firstLine="0"/>
              <w:jc w:val="left"/>
              <w:rPr>
                <w:sz w:val="16"/>
                <w:szCs w:val="16"/>
              </w:rPr>
            </w:pPr>
          </w:p>
        </w:tc>
        <w:tc>
          <w:tcPr>
            <w:tcW w:w="153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081EDA" w:rsidRDefault="00081EDA"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w:t>
      </w:r>
      <w:r w:rsidR="002B2286">
        <w:t>s information as shown in Fig. 5</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2B2286" w:rsidP="007D3696">
      <w:pPr>
        <w:ind w:firstLine="0"/>
        <w:jc w:val="center"/>
        <w:rPr>
          <w:sz w:val="18"/>
          <w:szCs w:val="18"/>
        </w:rPr>
      </w:pPr>
      <w:r>
        <w:rPr>
          <w:b/>
          <w:sz w:val="18"/>
          <w:szCs w:val="18"/>
        </w:rPr>
        <w:t>Fig.5</w:t>
      </w:r>
      <w:r w:rsidR="00D6717C" w:rsidRPr="007D3696">
        <w:rPr>
          <w:b/>
          <w:sz w:val="18"/>
          <w:szCs w:val="18"/>
        </w:rPr>
        <w:t>.</w:t>
      </w:r>
      <w:r w:rsidR="00D6717C"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w:t>
      </w:r>
      <w:r>
        <w:lastRenderedPageBreak/>
        <w:t xml:space="preserve">0.173818, 0.149589, and 0.005306 </w:t>
      </w:r>
      <w:r w:rsidR="00992C7A">
        <w:t>respectively. Therefore</w:t>
      </w:r>
      <w:r>
        <w:t>, from the results obtained it becomes evident that HFDC shows a better Return vs. Risk performance over the 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ED193C"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xml:space="preserve">, vol. 14, no. 24, pp. 4492–4501, 2019, </w:t>
      </w:r>
      <w:r w:rsidRPr="00356C74">
        <w:rPr>
          <w:noProof/>
          <w:szCs w:val="24"/>
        </w:rPr>
        <w:lastRenderedPageBreak/>
        <w:t>[Online].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ED193C" w:rsidP="00356C74">
      <w:pPr>
        <w:widowControl w:val="0"/>
        <w:ind w:left="640" w:hanging="640"/>
      </w:pPr>
      <w:r>
        <w:fldChar w:fldCharType="end"/>
      </w:r>
    </w:p>
    <w:sectPr w:rsidR="000F7CC9" w:rsidSect="009F7FCE">
      <w:headerReference w:type="even" r:id="rId27"/>
      <w:headerReference w:type="default" r:id="rId28"/>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BFE" w:rsidRDefault="00426BFE">
      <w:r>
        <w:separator/>
      </w:r>
    </w:p>
  </w:endnote>
  <w:endnote w:type="continuationSeparator" w:id="1">
    <w:p w:rsidR="00426BFE" w:rsidRDefault="00426B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BFE" w:rsidRDefault="00426BFE" w:rsidP="009F7FCE">
      <w:pPr>
        <w:ind w:firstLine="0"/>
      </w:pPr>
      <w:r>
        <w:separator/>
      </w:r>
    </w:p>
  </w:footnote>
  <w:footnote w:type="continuationSeparator" w:id="1">
    <w:p w:rsidR="00426BFE" w:rsidRDefault="00426BFE"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D5" w:rsidRDefault="00ED193C" w:rsidP="00F321B4">
    <w:pPr>
      <w:pStyle w:val="Header"/>
    </w:pPr>
    <w:fldSimple w:instr="PAGE   \* MERGEFORMAT">
      <w:r w:rsidR="00B84138">
        <w:rPr>
          <w:noProof/>
        </w:rPr>
        <w:t>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D5" w:rsidRDefault="00ED193C" w:rsidP="002D48C5">
    <w:pPr>
      <w:pStyle w:val="Header"/>
      <w:jc w:val="right"/>
    </w:pPr>
    <w:fldSimple w:instr="PAGE   \* MERGEFORMAT">
      <w:r w:rsidR="00B84138">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3891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MqgFAP0kkustAAAA"/>
  </w:docVars>
  <w:rsids>
    <w:rsidRoot w:val="009F7FCE"/>
    <w:rsid w:val="000346A3"/>
    <w:rsid w:val="00035EF1"/>
    <w:rsid w:val="00057CB8"/>
    <w:rsid w:val="0007472E"/>
    <w:rsid w:val="00081EDA"/>
    <w:rsid w:val="000A4AED"/>
    <w:rsid w:val="000B43A2"/>
    <w:rsid w:val="000F7CC9"/>
    <w:rsid w:val="0010072F"/>
    <w:rsid w:val="00113B37"/>
    <w:rsid w:val="00115C48"/>
    <w:rsid w:val="00141A0B"/>
    <w:rsid w:val="00153369"/>
    <w:rsid w:val="001871C8"/>
    <w:rsid w:val="001A02F0"/>
    <w:rsid w:val="001B2A35"/>
    <w:rsid w:val="001F1DF6"/>
    <w:rsid w:val="00282D31"/>
    <w:rsid w:val="00286A9D"/>
    <w:rsid w:val="002B2286"/>
    <w:rsid w:val="002B47CA"/>
    <w:rsid w:val="002D48C5"/>
    <w:rsid w:val="00320DD2"/>
    <w:rsid w:val="00324C78"/>
    <w:rsid w:val="00350455"/>
    <w:rsid w:val="0035683C"/>
    <w:rsid w:val="00356C74"/>
    <w:rsid w:val="003B4EE8"/>
    <w:rsid w:val="003B4F0E"/>
    <w:rsid w:val="004014E4"/>
    <w:rsid w:val="0040422C"/>
    <w:rsid w:val="004065DC"/>
    <w:rsid w:val="00413C38"/>
    <w:rsid w:val="00426033"/>
    <w:rsid w:val="00426BFE"/>
    <w:rsid w:val="00435FDC"/>
    <w:rsid w:val="004519AD"/>
    <w:rsid w:val="00455569"/>
    <w:rsid w:val="004615C4"/>
    <w:rsid w:val="0047769A"/>
    <w:rsid w:val="00497F2C"/>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6D02D5"/>
    <w:rsid w:val="0070331A"/>
    <w:rsid w:val="007349AA"/>
    <w:rsid w:val="00737096"/>
    <w:rsid w:val="00745636"/>
    <w:rsid w:val="00757E82"/>
    <w:rsid w:val="007662C2"/>
    <w:rsid w:val="00783859"/>
    <w:rsid w:val="00787419"/>
    <w:rsid w:val="0079062C"/>
    <w:rsid w:val="007919F1"/>
    <w:rsid w:val="00792BBC"/>
    <w:rsid w:val="007A1BE0"/>
    <w:rsid w:val="007B3D6F"/>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942CB"/>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838B3"/>
    <w:rsid w:val="00B84138"/>
    <w:rsid w:val="00BB50E3"/>
    <w:rsid w:val="00BF3A06"/>
    <w:rsid w:val="00C00312"/>
    <w:rsid w:val="00C42CA4"/>
    <w:rsid w:val="00C43BA0"/>
    <w:rsid w:val="00C92D2B"/>
    <w:rsid w:val="00CD64AC"/>
    <w:rsid w:val="00CD7C8B"/>
    <w:rsid w:val="00CE5A89"/>
    <w:rsid w:val="00D06331"/>
    <w:rsid w:val="00D0644A"/>
    <w:rsid w:val="00D17474"/>
    <w:rsid w:val="00D22380"/>
    <w:rsid w:val="00D365BB"/>
    <w:rsid w:val="00D40F5A"/>
    <w:rsid w:val="00D43DA2"/>
    <w:rsid w:val="00D521DE"/>
    <w:rsid w:val="00D6717C"/>
    <w:rsid w:val="00DA788A"/>
    <w:rsid w:val="00DB0735"/>
    <w:rsid w:val="00DB71FA"/>
    <w:rsid w:val="00DC2CA9"/>
    <w:rsid w:val="00DC636C"/>
    <w:rsid w:val="00DC6A79"/>
    <w:rsid w:val="00DD6177"/>
    <w:rsid w:val="00E03BC1"/>
    <w:rsid w:val="00E124F2"/>
    <w:rsid w:val="00E21906"/>
    <w:rsid w:val="00E26370"/>
    <w:rsid w:val="00E33208"/>
    <w:rsid w:val="00E603C7"/>
    <w:rsid w:val="00E64334"/>
    <w:rsid w:val="00E76FB3"/>
    <w:rsid w:val="00E8320D"/>
    <w:rsid w:val="00E84C92"/>
    <w:rsid w:val="00E854FE"/>
    <w:rsid w:val="00EB6833"/>
    <w:rsid w:val="00EC4378"/>
    <w:rsid w:val="00ED193C"/>
    <w:rsid w:val="00F1008C"/>
    <w:rsid w:val="00F119A9"/>
    <w:rsid w:val="00F321B4"/>
    <w:rsid w:val="00F4770E"/>
    <w:rsid w:val="00F506C4"/>
    <w:rsid w:val="00F8429B"/>
    <w:rsid w:val="00F84F0D"/>
    <w:rsid w:val="00F85753"/>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9658</Words>
  <Characters>55052</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48</cp:revision>
  <dcterms:created xsi:type="dcterms:W3CDTF">2023-03-25T09:07:00Z</dcterms:created>
  <dcterms:modified xsi:type="dcterms:W3CDTF">2023-04-28T06:53:00Z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