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D40F5A">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D40F5A">
        <w:fldChar w:fldCharType="separate"/>
      </w:r>
      <w:r w:rsidR="007A1BE0" w:rsidRPr="007A1BE0">
        <w:rPr>
          <w:noProof/>
        </w:rPr>
        <w:t>[1]</w:t>
      </w:r>
      <w:r w:rsidR="00D40F5A">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D40F5A">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D40F5A">
        <w:fldChar w:fldCharType="separate"/>
      </w:r>
      <w:r w:rsidR="007A1BE0" w:rsidRPr="007A1BE0">
        <w:rPr>
          <w:noProof/>
        </w:rPr>
        <w:t>[2]</w:t>
      </w:r>
      <w:r w:rsidR="00D40F5A">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D40F5A">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D40F5A">
        <w:fldChar w:fldCharType="separate"/>
      </w:r>
      <w:r w:rsidR="007A1BE0" w:rsidRPr="007A1BE0">
        <w:rPr>
          <w:noProof/>
        </w:rPr>
        <w:t>[3]</w:t>
      </w:r>
      <w:r w:rsidR="00D40F5A">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D40F5A">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D40F5A">
        <w:fldChar w:fldCharType="separate"/>
      </w:r>
      <w:r w:rsidR="007A1BE0" w:rsidRPr="007A1BE0">
        <w:rPr>
          <w:noProof/>
        </w:rPr>
        <w:t>[4]</w:t>
      </w:r>
      <w:r w:rsidR="00D40F5A">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D40F5A">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D40F5A">
        <w:fldChar w:fldCharType="separate"/>
      </w:r>
      <w:r w:rsidR="007A1BE0" w:rsidRPr="007A1BE0">
        <w:rPr>
          <w:noProof/>
        </w:rPr>
        <w:t>[5]</w:t>
      </w:r>
      <w:r w:rsidR="00D40F5A">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D40F5A">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D40F5A">
        <w:fldChar w:fldCharType="separate"/>
      </w:r>
      <w:r w:rsidR="007A1BE0" w:rsidRPr="007A1BE0">
        <w:rPr>
          <w:noProof/>
        </w:rPr>
        <w:t>[6]</w:t>
      </w:r>
      <w:r w:rsidR="00D40F5A">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D40F5A">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D40F5A">
        <w:fldChar w:fldCharType="separate"/>
      </w:r>
      <w:r w:rsidR="007A1BE0" w:rsidRPr="007A1BE0">
        <w:rPr>
          <w:noProof/>
        </w:rPr>
        <w:t>[7]</w:t>
      </w:r>
      <w:r w:rsidR="00D40F5A">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D40F5A">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D40F5A">
        <w:fldChar w:fldCharType="separate"/>
      </w:r>
      <w:r w:rsidR="007A1BE0" w:rsidRPr="007A1BE0">
        <w:rPr>
          <w:noProof/>
        </w:rPr>
        <w:t>[8]</w:t>
      </w:r>
      <w:r w:rsidR="00D40F5A">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D40F5A">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D40F5A">
        <w:fldChar w:fldCharType="separate"/>
      </w:r>
      <w:r w:rsidR="007A1BE0" w:rsidRPr="007A1BE0">
        <w:rPr>
          <w:noProof/>
        </w:rPr>
        <w:t>[9]</w:t>
      </w:r>
      <w:r w:rsidR="00D40F5A">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D40F5A">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D40F5A">
        <w:fldChar w:fldCharType="separate"/>
      </w:r>
      <w:r w:rsidR="007A1BE0" w:rsidRPr="007A1BE0">
        <w:rPr>
          <w:noProof/>
        </w:rPr>
        <w:t>[10]</w:t>
      </w:r>
      <w:r w:rsidR="00D40F5A">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D40F5A">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D40F5A">
        <w:fldChar w:fldCharType="separate"/>
      </w:r>
      <w:r w:rsidR="007A1BE0" w:rsidRPr="007A1BE0">
        <w:rPr>
          <w:noProof/>
        </w:rPr>
        <w:t>[11]</w:t>
      </w:r>
      <w:r w:rsidR="00D40F5A">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D40F5A">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D40F5A">
        <w:fldChar w:fldCharType="separate"/>
      </w:r>
      <w:r w:rsidR="007A1BE0" w:rsidRPr="007A1BE0">
        <w:rPr>
          <w:noProof/>
        </w:rPr>
        <w:t>[12]</w:t>
      </w:r>
      <w:r w:rsidR="00D40F5A">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D40F5A">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D40F5A">
        <w:fldChar w:fldCharType="separate"/>
      </w:r>
      <w:r w:rsidR="007A1BE0" w:rsidRPr="007A1BE0">
        <w:rPr>
          <w:noProof/>
        </w:rPr>
        <w:t>[13]</w:t>
      </w:r>
      <w:r w:rsidR="00D40F5A">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D40F5A">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D40F5A">
        <w:fldChar w:fldCharType="separate"/>
      </w:r>
      <w:r w:rsidR="007A1BE0" w:rsidRPr="007A1BE0">
        <w:rPr>
          <w:noProof/>
        </w:rPr>
        <w:t>[14]</w:t>
      </w:r>
      <w:r w:rsidR="00D40F5A">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D40F5A">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D40F5A">
        <w:fldChar w:fldCharType="separate"/>
      </w:r>
      <w:r w:rsidR="00356C74" w:rsidRPr="00356C74">
        <w:rPr>
          <w:noProof/>
        </w:rPr>
        <w:t>[15]</w:t>
      </w:r>
      <w:r w:rsidR="00D40F5A">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D40F5A">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D40F5A">
        <w:fldChar w:fldCharType="separate"/>
      </w:r>
      <w:r w:rsidR="00356C74" w:rsidRPr="00356C74">
        <w:rPr>
          <w:noProof/>
        </w:rPr>
        <w:t>[16]</w:t>
      </w:r>
      <w:r w:rsidR="00D40F5A">
        <w:fldChar w:fldCharType="end"/>
      </w:r>
      <w:r>
        <w:t xml:space="preserve">. Wang studied k nearest neighbours and informs that it is the most popular statistical technique utilized in pattern identification over the last </w:t>
      </w:r>
      <w:r w:rsidR="00356C74">
        <w:t xml:space="preserve">four decades </w:t>
      </w:r>
      <w:r w:rsidR="00D40F5A">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D40F5A">
        <w:fldChar w:fldCharType="separate"/>
      </w:r>
      <w:r w:rsidR="00356C74" w:rsidRPr="00356C74">
        <w:rPr>
          <w:noProof/>
        </w:rPr>
        <w:t>[17]</w:t>
      </w:r>
      <w:r w:rsidR="00D40F5A">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D40F5A">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D40F5A">
        <w:fldChar w:fldCharType="separate"/>
      </w:r>
      <w:r w:rsidR="00356C74" w:rsidRPr="00356C74">
        <w:rPr>
          <w:noProof/>
        </w:rPr>
        <w:t>[18]</w:t>
      </w:r>
      <w:r w:rsidR="00D40F5A">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D40F5A">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D40F5A">
        <w:fldChar w:fldCharType="separate"/>
      </w:r>
      <w:r w:rsidR="00356C74" w:rsidRPr="00356C74">
        <w:rPr>
          <w:noProof/>
        </w:rPr>
        <w:t>[19]</w:t>
      </w:r>
      <w:r w:rsidR="00D40F5A">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C00312"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p>
    <w:p w:rsidR="00C00312" w:rsidRDefault="00C00312" w:rsidP="00B66D99">
      <w:pPr>
        <w:pStyle w:val="BodyText"/>
      </w:pPr>
    </w:p>
    <w:p w:rsidR="00C00312" w:rsidRDefault="00992C7A" w:rsidP="00B66D99">
      <w:pPr>
        <w:pStyle w:val="BodyText"/>
      </w:pPr>
      <w:r>
        <w:t>The</w:t>
      </w:r>
      <w:r w:rsidRPr="002239E9">
        <w:rPr>
          <w:i/>
        </w:rPr>
        <w:t xml:space="preserve"> symb</w:t>
      </w:r>
      <w:r>
        <w:t>ol</w:t>
      </w:r>
      <w:r w:rsidR="00435FDC">
        <w:t xml:space="preserve"> column tells the corporate symbol mentioned for the stock. The </w:t>
      </w:r>
      <w:r w:rsidR="00435FDC" w:rsidRPr="00B95D60">
        <w:rPr>
          <w:i/>
        </w:rPr>
        <w:t>ope</w:t>
      </w:r>
      <w:r w:rsidR="00435FDC" w:rsidRPr="00B95D60">
        <w:rPr>
          <w:i/>
        </w:rPr>
        <w:t>n</w:t>
      </w:r>
      <w:r w:rsidR="00435FDC" w:rsidRPr="00B95D60">
        <w:rPr>
          <w:i/>
        </w:rPr>
        <w:t>ing price</w:t>
      </w:r>
      <w:r w:rsidR="00435FDC">
        <w:t xml:space="preserve"> is the first trade worth that </w:t>
      </w:r>
      <w:r w:rsidR="000A4AED">
        <w:t>is</w:t>
      </w:r>
      <w:r w:rsidR="00435FDC">
        <w:t xml:space="preserve"> recorded throughout the day’s trading. The </w:t>
      </w:r>
      <w:r w:rsidR="00435FDC" w:rsidRPr="00B95D60">
        <w:rPr>
          <w:i/>
        </w:rPr>
        <w:t>high and low</w:t>
      </w:r>
      <w:r w:rsidR="00435FDC">
        <w:t xml:space="preserve"> is the highest and lowest value respectively at that a stock is listed during a period. </w:t>
      </w:r>
    </w:p>
    <w:p w:rsidR="00C00312" w:rsidRDefault="00C00312" w:rsidP="00B66D99">
      <w:pPr>
        <w:pStyle w:val="BodyText"/>
      </w:pPr>
    </w:p>
    <w:p w:rsidR="00C00312" w:rsidRDefault="00435FDC" w:rsidP="00B66D99">
      <w:pPr>
        <w:pStyle w:val="BodyText"/>
      </w:pPr>
      <w:r>
        <w:t xml:space="preserve">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Average Price</w:t>
      </w:r>
      <w:r>
        <w:t xml:space="preserve"> (VWAP) is a trading benchmark based on both volume and worth. The trading </w:t>
      </w:r>
      <w:r>
        <w:rPr>
          <w:i/>
        </w:rPr>
        <w:t>v</w:t>
      </w:r>
      <w:r w:rsidRPr="00256F84">
        <w:rPr>
          <w:i/>
        </w:rPr>
        <w:t>olume</w:t>
      </w:r>
      <w:r>
        <w:t xml:space="preserve"> shows the number of shares listed for the day, listed in lots of hundreds of quantities of shares.</w:t>
      </w:r>
      <w:r w:rsidRPr="00E84295">
        <w:t xml:space="preserve"> </w:t>
      </w:r>
    </w:p>
    <w:p w:rsidR="00C00312" w:rsidRDefault="00C00312" w:rsidP="00B66D99">
      <w:pPr>
        <w:pStyle w:val="BodyText"/>
      </w:pPr>
    </w:p>
    <w:p w:rsidR="005E2779" w:rsidRDefault="00435FDC" w:rsidP="00B66D99">
      <w:pPr>
        <w:pStyle w:val="BodyText"/>
      </w:pPr>
      <w:r w:rsidRPr="00E84295">
        <w:t>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p w:rsidR="0054576F" w:rsidRPr="0054576F" w:rsidRDefault="0054576F" w:rsidP="0054576F"/>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F4770E">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54576F" w:rsidRDefault="0054576F" w:rsidP="00E8320D">
            <w:pPr>
              <w:pStyle w:val="BodyText"/>
              <w:ind w:firstLine="0"/>
              <w:jc w:val="left"/>
              <w:rPr>
                <w:bCs/>
                <w:sz w:val="16"/>
                <w:szCs w:val="16"/>
              </w:rPr>
            </w:pPr>
          </w:p>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F4770E">
        <w:trPr>
          <w:jc w:val="center"/>
        </w:trPr>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F4770E">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F4770E">
        <w:trPr>
          <w:jc w:val="center"/>
        </w:trPr>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792BBC" w:rsidRPr="00521EED" w:rsidRDefault="0083541F" w:rsidP="00521EED">
      <w:pPr>
        <w:pStyle w:val="heading2"/>
      </w:pPr>
      <w:r w:rsidRPr="00521EED">
        <w:lastRenderedPageBreak/>
        <w:t>Data Exploration</w:t>
      </w:r>
    </w:p>
    <w:p w:rsidR="00521EED" w:rsidRDefault="00521EED" w:rsidP="0083541F">
      <w:pPr>
        <w:ind w:firstLine="0"/>
        <w:rPr>
          <w:b/>
        </w:rPr>
      </w:pPr>
    </w:p>
    <w:tbl>
      <w:tblPr>
        <w:tblStyle w:val="TableGrid"/>
        <w:tblW w:w="10140" w:type="dxa"/>
        <w:jc w:val="center"/>
        <w:tblLayout w:type="fixed"/>
        <w:tblLook w:val="04A0"/>
      </w:tblPr>
      <w:tblGrid>
        <w:gridCol w:w="3306"/>
        <w:gridCol w:w="3504"/>
        <w:gridCol w:w="3330"/>
      </w:tblGrid>
      <w:tr w:rsidR="00F4770E" w:rsidTr="00426033">
        <w:trPr>
          <w:trHeight w:val="3887"/>
          <w:jc w:val="center"/>
        </w:trPr>
        <w:tc>
          <w:tcPr>
            <w:tcW w:w="3306" w:type="dxa"/>
            <w:vAlign w:val="center"/>
          </w:tcPr>
          <w:p w:rsidR="0054576F" w:rsidRDefault="0054576F" w:rsidP="00426033">
            <w:pPr>
              <w:ind w:firstLine="0"/>
              <w:jc w:val="left"/>
            </w:pPr>
            <w:r>
              <w:rPr>
                <w:noProof/>
              </w:rPr>
              <w:drawing>
                <wp:inline distT="0" distB="0" distL="0" distR="0">
                  <wp:extent cx="2023939"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504" w:type="dxa"/>
            <w:vAlign w:val="center"/>
          </w:tcPr>
          <w:p w:rsidR="0054576F" w:rsidRDefault="00787419" w:rsidP="00426033">
            <w:pPr>
              <w:ind w:firstLine="0"/>
              <w:jc w:val="left"/>
            </w:pPr>
            <w:r>
              <w:rPr>
                <w:noProof/>
              </w:rPr>
              <w:drawing>
                <wp:inline distT="0" distB="0" distL="0" distR="0">
                  <wp:extent cx="2105025" cy="1331993"/>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105025" cy="1331993"/>
                          </a:xfrm>
                          <a:prstGeom prst="rect">
                            <a:avLst/>
                          </a:prstGeom>
                          <a:noFill/>
                          <a:ln w="9525">
                            <a:noFill/>
                            <a:miter lim="800000"/>
                            <a:headEnd/>
                            <a:tailEnd/>
                          </a:ln>
                        </pic:spPr>
                      </pic:pic>
                    </a:graphicData>
                  </a:graphic>
                </wp:inline>
              </w:drawing>
            </w:r>
          </w:p>
        </w:tc>
        <w:tc>
          <w:tcPr>
            <w:tcW w:w="3330" w:type="dxa"/>
            <w:vAlign w:val="center"/>
          </w:tcPr>
          <w:p w:rsidR="0054576F" w:rsidRDefault="00F4770E" w:rsidP="00426033">
            <w:pPr>
              <w:ind w:firstLine="0"/>
              <w:jc w:val="left"/>
            </w:pPr>
            <w:r>
              <w:rPr>
                <w:noProof/>
              </w:rPr>
              <w:drawing>
                <wp:inline distT="0" distB="0" distL="0" distR="0">
                  <wp:extent cx="1905000" cy="13314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DC6A79" w:rsidRPr="005E2779" w:rsidRDefault="00DC6A79" w:rsidP="000A4AED">
      <w:pPr>
        <w:ind w:firstLine="0"/>
        <w:jc w:val="center"/>
      </w:pP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t>ward direction. SBI STOCK is 2211 times suitable for long trading whereas 3364 times, it is not moving in an upward direction.</w:t>
      </w:r>
    </w:p>
    <w:p w:rsidR="000A4AED" w:rsidRPr="000A4AED" w:rsidRDefault="000A4AED" w:rsidP="000A4AED"/>
    <w:tbl>
      <w:tblPr>
        <w:tblStyle w:val="TableGrid"/>
        <w:tblW w:w="5494" w:type="dxa"/>
        <w:tblLook w:val="04A0"/>
      </w:tblPr>
      <w:tblGrid>
        <w:gridCol w:w="5676"/>
      </w:tblGrid>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438525" cy="1797581"/>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44189" cy="1800542"/>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lastRenderedPageBreak/>
              <w:drawing>
                <wp:inline distT="0" distB="0" distL="0" distR="0">
                  <wp:extent cx="3438525" cy="1842333"/>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452355" cy="1849743"/>
                          </a:xfrm>
                          <a:prstGeom prst="rect">
                            <a:avLst/>
                          </a:prstGeom>
                          <a:noFill/>
                          <a:ln w="9525">
                            <a:noFill/>
                            <a:miter lim="800000"/>
                            <a:headEnd/>
                            <a:tailEnd/>
                          </a:ln>
                        </pic:spPr>
                      </pic:pic>
                    </a:graphicData>
                  </a:graphic>
                </wp:inline>
              </w:drawing>
            </w:r>
          </w:p>
        </w:tc>
      </w:tr>
      <w:tr w:rsidR="004B4409" w:rsidTr="00497F2C">
        <w:trPr>
          <w:trHeight w:val="2901"/>
        </w:trPr>
        <w:tc>
          <w:tcPr>
            <w:tcW w:w="0" w:type="auto"/>
            <w:vAlign w:val="center"/>
          </w:tcPr>
          <w:p w:rsidR="004B4409" w:rsidRDefault="00497F2C" w:rsidP="004B4409">
            <w:pPr>
              <w:ind w:firstLine="0"/>
              <w:jc w:val="left"/>
            </w:pPr>
            <w:r>
              <w:rPr>
                <w:noProof/>
              </w:rPr>
              <w:drawing>
                <wp:inline distT="0" distB="0" distL="0" distR="0">
                  <wp:extent cx="3390900" cy="1780039"/>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97138" cy="1783314"/>
                          </a:xfrm>
                          <a:prstGeom prst="rect">
                            <a:avLst/>
                          </a:prstGeom>
                          <a:noFill/>
                          <a:ln w="9525">
                            <a:noFill/>
                            <a:miter lim="800000"/>
                            <a:headEnd/>
                            <a:tailEnd/>
                          </a:ln>
                        </pic:spPr>
                      </pic:pic>
                    </a:graphicData>
                  </a:graphic>
                </wp:inline>
              </w:drawing>
            </w:r>
          </w:p>
        </w:tc>
      </w:tr>
    </w:tbl>
    <w:p w:rsidR="00521EED" w:rsidRDefault="00521EED" w:rsidP="00E124F2">
      <w:pPr>
        <w:ind w:firstLine="0"/>
      </w:pPr>
    </w:p>
    <w:p w:rsidR="00DB0735" w:rsidRPr="0047769A" w:rsidRDefault="00DB0735" w:rsidP="009942CB">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tbl>
      <w:tblPr>
        <w:tblStyle w:val="TableGrid"/>
        <w:tblW w:w="8841" w:type="dxa"/>
        <w:jc w:val="center"/>
        <w:tblLayout w:type="fixed"/>
        <w:tblLook w:val="04A0"/>
      </w:tblPr>
      <w:tblGrid>
        <w:gridCol w:w="2901"/>
        <w:gridCol w:w="2880"/>
        <w:gridCol w:w="3060"/>
      </w:tblGrid>
      <w:tr w:rsidR="00B20F9A" w:rsidTr="00B20F9A">
        <w:trPr>
          <w:trHeight w:val="3635"/>
          <w:jc w:val="center"/>
        </w:trPr>
        <w:tc>
          <w:tcPr>
            <w:tcW w:w="2901" w:type="dxa"/>
            <w:vAlign w:val="center"/>
          </w:tcPr>
          <w:p w:rsidR="000346A3" w:rsidRDefault="00A77351" w:rsidP="00B20F9A">
            <w:pPr>
              <w:ind w:firstLine="0"/>
              <w:jc w:val="left"/>
            </w:pPr>
            <w:r>
              <w:rPr>
                <w:noProof/>
              </w:rPr>
              <w:drawing>
                <wp:inline distT="0" distB="0" distL="0" distR="0">
                  <wp:extent cx="1647825" cy="1562039"/>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0346A3" w:rsidRDefault="00A77351" w:rsidP="00B20F9A">
            <w:pPr>
              <w:ind w:firstLine="0"/>
              <w:jc w:val="left"/>
            </w:pPr>
            <w:r>
              <w:rPr>
                <w:noProof/>
              </w:rPr>
              <w:drawing>
                <wp:inline distT="0" distB="0" distL="0" distR="0">
                  <wp:extent cx="1672774" cy="1600200"/>
                  <wp:effectExtent l="19050" t="0" r="3626"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0346A3" w:rsidRDefault="00A77351" w:rsidP="00B20F9A">
            <w:pPr>
              <w:ind w:firstLine="0"/>
              <w:jc w:val="left"/>
            </w:pPr>
            <w:r>
              <w:rPr>
                <w:noProof/>
              </w:rPr>
              <w:drawing>
                <wp:inline distT="0" distB="0" distL="0" distR="0">
                  <wp:extent cx="1819275" cy="1640596"/>
                  <wp:effectExtent l="1905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DC636C" w:rsidRDefault="00DC636C" w:rsidP="00DC636C">
      <w:pPr>
        <w:pStyle w:val="p1a"/>
        <w:jc w:val="left"/>
        <w:rPr>
          <w:b/>
          <w:sz w:val="18"/>
          <w:szCs w:val="18"/>
        </w:rPr>
      </w:pPr>
    </w:p>
    <w:p w:rsidR="00F119A9" w:rsidRPr="005F7473" w:rsidRDefault="00DB0735" w:rsidP="00DC636C">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004B4409" w:rsidRPr="0047769A">
        <w:rPr>
          <w:sz w:val="18"/>
          <w:szCs w:val="18"/>
        </w:rPr>
        <w:t>, KOTAK, and SBI</w:t>
      </w:r>
      <w:r w:rsidRPr="0047769A">
        <w:rPr>
          <w:sz w:val="18"/>
          <w:szCs w:val="18"/>
        </w:rPr>
        <w:t xml:space="preserve"> Stock</w:t>
      </w:r>
    </w:p>
    <w:p w:rsidR="00521EED" w:rsidRDefault="00521EED" w:rsidP="00DC636C">
      <w:pPr>
        <w:ind w:firstLine="0"/>
        <w:jc w:val="left"/>
        <w:rPr>
          <w:b/>
        </w:rPr>
      </w:pPr>
    </w:p>
    <w:p w:rsidR="00562937" w:rsidRDefault="00AC19D7" w:rsidP="00F119A9">
      <w:pPr>
        <w:ind w:firstLine="0"/>
      </w:pPr>
      <w:r w:rsidRPr="00D90C92">
        <w:lastRenderedPageBreak/>
        <w:t xml:space="preserve">As shown in </w:t>
      </w:r>
      <w:r w:rsidR="00E124F2">
        <w:t>Fig. 2 –Fig. 3</w:t>
      </w:r>
      <w:r>
        <w:t>, the d</w:t>
      </w:r>
      <w:r w:rsidRPr="002A045F">
        <w:t>ata has a positively skewed distribution which is observed in all 3 stocks namely HDFC, KOTAK, and SBI bank stock. SBIBANK stock is looking as the least volatile stock followed by HDFC and then KOTAK</w:t>
      </w:r>
      <w:r>
        <w:t>.</w:t>
      </w:r>
    </w:p>
    <w:p w:rsidR="00521EED" w:rsidRPr="00E76FB3" w:rsidRDefault="00521EED" w:rsidP="00F119A9">
      <w:pPr>
        <w:ind w:firstLine="0"/>
      </w:pPr>
    </w:p>
    <w:tbl>
      <w:tblPr>
        <w:tblStyle w:val="TableGrid"/>
        <w:tblW w:w="9351" w:type="dxa"/>
        <w:jc w:val="center"/>
        <w:tblLayout w:type="fixed"/>
        <w:tblLook w:val="04A0"/>
      </w:tblPr>
      <w:tblGrid>
        <w:gridCol w:w="3117"/>
        <w:gridCol w:w="3117"/>
        <w:gridCol w:w="3117"/>
      </w:tblGrid>
      <w:tr w:rsidR="00F1008C" w:rsidTr="00057CB8">
        <w:trPr>
          <w:trHeight w:val="2589"/>
          <w:jc w:val="center"/>
        </w:trPr>
        <w:tc>
          <w:tcPr>
            <w:tcW w:w="3117" w:type="dxa"/>
            <w:vAlign w:val="center"/>
          </w:tcPr>
          <w:p w:rsidR="00AA4630" w:rsidRDefault="006D02D5" w:rsidP="00F1008C">
            <w:pPr>
              <w:ind w:firstLine="0"/>
              <w:jc w:val="left"/>
              <w:rPr>
                <w:sz w:val="18"/>
                <w:szCs w:val="18"/>
              </w:rPr>
            </w:pPr>
            <w:r>
              <w:rPr>
                <w:noProof/>
                <w:sz w:val="18"/>
                <w:szCs w:val="18"/>
              </w:rPr>
              <w:drawing>
                <wp:inline distT="0" distB="0" distL="0" distR="0">
                  <wp:extent cx="1905000" cy="13811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tc>
        <w:tc>
          <w:tcPr>
            <w:tcW w:w="3117" w:type="dxa"/>
            <w:vAlign w:val="center"/>
          </w:tcPr>
          <w:p w:rsidR="00AA4630" w:rsidRDefault="006D02D5" w:rsidP="00F1008C">
            <w:pPr>
              <w:ind w:firstLine="0"/>
              <w:jc w:val="left"/>
              <w:rPr>
                <w:sz w:val="18"/>
                <w:szCs w:val="18"/>
              </w:rPr>
            </w:pPr>
            <w:r>
              <w:rPr>
                <w:noProof/>
                <w:sz w:val="18"/>
                <w:szCs w:val="18"/>
              </w:rPr>
              <w:drawing>
                <wp:inline distT="0" distB="0" distL="0" distR="0">
                  <wp:extent cx="1905000" cy="13906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36207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tc>
      </w:tr>
      <w:tr w:rsidR="00F1008C" w:rsidTr="00057CB8">
        <w:trPr>
          <w:trHeight w:val="2589"/>
          <w:jc w:val="center"/>
        </w:trPr>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19225"/>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192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AA4630" w:rsidRDefault="00057CB8" w:rsidP="00F1008C">
            <w:pPr>
              <w:ind w:firstLine="0"/>
              <w:jc w:val="left"/>
              <w:rPr>
                <w:sz w:val="18"/>
                <w:szCs w:val="18"/>
              </w:rPr>
            </w:pPr>
            <w:r>
              <w:rPr>
                <w:noProof/>
                <w:sz w:val="18"/>
                <w:szCs w:val="18"/>
              </w:rPr>
              <w:drawing>
                <wp:inline distT="0" distB="0" distL="0" distR="0">
                  <wp:extent cx="1905000" cy="14001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r>
      <w:tr w:rsidR="006D02D5" w:rsidTr="00057CB8">
        <w:trPr>
          <w:trHeight w:val="2589"/>
          <w:jc w:val="center"/>
        </w:trPr>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409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tc>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4001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c>
          <w:tcPr>
            <w:tcW w:w="3117" w:type="dxa"/>
            <w:vAlign w:val="center"/>
          </w:tcPr>
          <w:p w:rsidR="006D02D5" w:rsidRDefault="00057CB8" w:rsidP="00F1008C">
            <w:pPr>
              <w:ind w:firstLine="0"/>
              <w:jc w:val="left"/>
              <w:rPr>
                <w:sz w:val="18"/>
                <w:szCs w:val="18"/>
              </w:rPr>
            </w:pPr>
            <w:r>
              <w:rPr>
                <w:noProof/>
                <w:sz w:val="18"/>
                <w:szCs w:val="18"/>
              </w:rPr>
              <w:drawing>
                <wp:inline distT="0" distB="0" distL="0" distR="0">
                  <wp:extent cx="1905000" cy="13906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r>
    </w:tbl>
    <w:p w:rsidR="00562937" w:rsidRDefault="00562937" w:rsidP="00521EED">
      <w:pPr>
        <w:ind w:firstLine="0"/>
        <w:jc w:val="center"/>
        <w:rPr>
          <w:sz w:val="18"/>
          <w:szCs w:val="18"/>
        </w:rPr>
      </w:pPr>
    </w:p>
    <w:p w:rsidR="00521EED" w:rsidRDefault="00521EED" w:rsidP="00521EED">
      <w:pPr>
        <w:ind w:firstLine="0"/>
        <w:jc w:val="center"/>
        <w:rPr>
          <w:sz w:val="18"/>
          <w:szCs w:val="18"/>
        </w:rPr>
      </w:pPr>
    </w:p>
    <w:p w:rsidR="00521EED" w:rsidRDefault="001B2A35" w:rsidP="001B2A35">
      <w:pPr>
        <w:ind w:firstLine="0"/>
        <w:jc w:val="center"/>
        <w:rPr>
          <w:sz w:val="18"/>
          <w:szCs w:val="18"/>
        </w:rPr>
      </w:pPr>
      <w:r>
        <w:rPr>
          <w:b/>
          <w:sz w:val="18"/>
          <w:szCs w:val="18"/>
        </w:rPr>
        <w:t>Fig.4</w:t>
      </w:r>
      <w:r w:rsidR="00745636" w:rsidRPr="00521EED">
        <w:rPr>
          <w:b/>
          <w:sz w:val="18"/>
          <w:szCs w:val="18"/>
        </w:rPr>
        <w:t>.</w:t>
      </w:r>
      <w:r w:rsidR="00E124F2">
        <w:rPr>
          <w:sz w:val="18"/>
          <w:szCs w:val="18"/>
        </w:rPr>
        <w:t xml:space="preserve"> </w:t>
      </w:r>
      <w:r w:rsidR="00745636" w:rsidRPr="00521EED">
        <w:rPr>
          <w:sz w:val="18"/>
          <w:szCs w:val="18"/>
        </w:rPr>
        <w:t>Scatter P</w:t>
      </w:r>
      <w:r w:rsidR="00E124F2">
        <w:rPr>
          <w:sz w:val="18"/>
          <w:szCs w:val="18"/>
        </w:rPr>
        <w:t xml:space="preserve">lot against close price for </w:t>
      </w:r>
      <w:r w:rsidR="00745636" w:rsidRPr="00521EED">
        <w:rPr>
          <w:sz w:val="18"/>
          <w:szCs w:val="18"/>
        </w:rPr>
        <w:t>HDFC</w:t>
      </w:r>
      <w:r w:rsidR="00E124F2" w:rsidRPr="00E124F2">
        <w:rPr>
          <w:sz w:val="18"/>
          <w:szCs w:val="18"/>
        </w:rPr>
        <w:t xml:space="preserve"> </w:t>
      </w:r>
      <w:r w:rsidR="00E124F2" w:rsidRPr="0047769A">
        <w:rPr>
          <w:sz w:val="18"/>
          <w:szCs w:val="18"/>
        </w:rPr>
        <w:t>KOTAK, and SBI</w:t>
      </w:r>
      <w:r w:rsidR="00745636" w:rsidRPr="00521EED">
        <w:rPr>
          <w:sz w:val="18"/>
          <w:szCs w:val="18"/>
        </w:rPr>
        <w:t xml:space="preserve"> Stock from 2000 to 2022</w:t>
      </w:r>
    </w:p>
    <w:p w:rsidR="005F7473" w:rsidRDefault="005F7473" w:rsidP="00AC19D7">
      <w:pPr>
        <w:pStyle w:val="figurecaption"/>
        <w:numPr>
          <w:ilvl w:val="0"/>
          <w:numId w:val="0"/>
        </w:numPr>
        <w:rPr>
          <w:rFonts w:eastAsia="Times New Roman"/>
          <w:noProof w:val="0"/>
          <w:sz w:val="18"/>
          <w:szCs w:val="18"/>
        </w:rPr>
      </w:pPr>
    </w:p>
    <w:p w:rsidR="00521EED" w:rsidRDefault="00E124F2" w:rsidP="005F7473">
      <w:pPr>
        <w:pStyle w:val="figurecaption"/>
        <w:numPr>
          <w:ilvl w:val="0"/>
          <w:numId w:val="0"/>
        </w:numPr>
        <w:rPr>
          <w:sz w:val="20"/>
          <w:szCs w:val="20"/>
        </w:rPr>
      </w:pPr>
      <w:r>
        <w:rPr>
          <w:sz w:val="20"/>
          <w:szCs w:val="20"/>
        </w:rPr>
        <w:t>As shown in Fig. 4</w:t>
      </w:r>
      <w:r w:rsidR="00AC19D7">
        <w:rPr>
          <w:sz w:val="20"/>
          <w:szCs w:val="20"/>
        </w:rPr>
        <w:t xml:space="preserve">, </w:t>
      </w:r>
      <w:r w:rsidR="00AC19D7" w:rsidRPr="002A045F">
        <w:rPr>
          <w:sz w:val="20"/>
          <w:szCs w:val="20"/>
        </w:rPr>
        <w:t>a linear relationship exists between</w:t>
      </w:r>
      <w:r w:rsidR="00AC19D7">
        <w:rPr>
          <w:sz w:val="20"/>
          <w:szCs w:val="20"/>
        </w:rPr>
        <w:t xml:space="preserve"> Independent variables and the t</w:t>
      </w:r>
      <w:r w:rsidR="00AC19D7" w:rsidRPr="002A045F">
        <w:rPr>
          <w:sz w:val="20"/>
          <w:szCs w:val="20"/>
        </w:rPr>
        <w:t>arget variable except for fewer outliers which is quite negligible.</w:t>
      </w:r>
    </w:p>
    <w:p w:rsidR="00AC19D7" w:rsidRPr="00521EED" w:rsidRDefault="00AC19D7" w:rsidP="00521EED">
      <w:pPr>
        <w:pStyle w:val="heading2"/>
      </w:pPr>
      <w:r w:rsidRPr="00521EED">
        <w:lastRenderedPageBreak/>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Computed variables added to the dataset are simple and exponential moving averages for rolling periods of seven, thirteen, twenty, hundred, and two hundred days. The one 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t>Table 3.</w:t>
      </w:r>
      <w:r w:rsidRPr="008943BC">
        <w:t>Model evaluation using logistic regression classifier</w:t>
      </w:r>
    </w:p>
    <w:p w:rsidR="00BF3A06" w:rsidRPr="00BF3A06" w:rsidRDefault="00BF3A06" w:rsidP="00BF3A0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B838B3">
        <w:trPr>
          <w:jc w:val="center"/>
        </w:trPr>
        <w:tc>
          <w:tcPr>
            <w:tcW w:w="1998" w:type="dxa"/>
            <w:tcBorders>
              <w:top w:val="single" w:sz="4" w:space="0" w:color="auto"/>
              <w:bottom w:val="single" w:sz="4" w:space="0" w:color="auto"/>
            </w:tcBorders>
            <w:shd w:val="clear" w:color="auto" w:fill="auto"/>
            <w:vAlign w:val="center"/>
          </w:tcPr>
          <w:p w:rsidR="00B838B3"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B838B3">
        <w:trPr>
          <w:jc w:val="center"/>
        </w:trPr>
        <w:tc>
          <w:tcPr>
            <w:tcW w:w="1998" w:type="dxa"/>
            <w:tcBorders>
              <w:top w:val="single" w:sz="4" w:space="0" w:color="auto"/>
            </w:tcBorders>
            <w:vAlign w:val="center"/>
          </w:tcPr>
          <w:p w:rsidR="00B838B3"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B838B3">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B838B3">
        <w:trPr>
          <w:jc w:val="center"/>
        </w:trPr>
        <w:tc>
          <w:tcPr>
            <w:tcW w:w="1998" w:type="dxa"/>
            <w:tcBorders>
              <w:bottom w:val="single" w:sz="4" w:space="0" w:color="auto"/>
            </w:tcBorders>
            <w:vAlign w:val="center"/>
          </w:tcPr>
          <w:p w:rsidR="00B838B3" w:rsidRPr="00504F48" w:rsidRDefault="008943BC" w:rsidP="00E8320D">
            <w:pPr>
              <w:pStyle w:val="figurecaption"/>
              <w:numPr>
                <w:ilvl w:val="0"/>
                <w:numId w:val="0"/>
              </w:numPr>
              <w:jc w:val="left"/>
            </w:pPr>
            <w:r w:rsidRPr="00504F48">
              <w:t>Go long direction prediction using volatility indicators</w:t>
            </w:r>
          </w:p>
        </w:tc>
        <w:tc>
          <w:tcPr>
            <w:tcW w:w="1568"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tcBorders>
              <w:bottom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324C78" w:rsidRDefault="00324C78" w:rsidP="00E8320D">
      <w:pPr>
        <w:pStyle w:val="BodyText"/>
        <w:ind w:firstLine="0"/>
      </w:pPr>
    </w:p>
    <w:p w:rsidR="00324C78" w:rsidRDefault="00324C78" w:rsidP="00E8320D">
      <w:pPr>
        <w:pStyle w:val="BodyText"/>
        <w:ind w:firstLine="0"/>
      </w:pPr>
    </w:p>
    <w:p w:rsidR="00057CB8" w:rsidRDefault="00057CB8" w:rsidP="00E8320D">
      <w:pPr>
        <w:pStyle w:val="BodyText"/>
        <w:ind w:firstLine="0"/>
      </w:pPr>
    </w:p>
    <w:p w:rsidR="00E64334" w:rsidRDefault="00E64334" w:rsidP="007D3696">
      <w:pPr>
        <w:pStyle w:val="heading2"/>
      </w:pPr>
      <w:r w:rsidRPr="008943BC">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081ED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081EDA">
        <w:trPr>
          <w:jc w:val="center"/>
        </w:trPr>
        <w:tc>
          <w:tcPr>
            <w:tcW w:w="2087" w:type="dxa"/>
            <w:tcBorders>
              <w:top w:val="single" w:sz="4" w:space="0" w:color="auto"/>
              <w:left w:val="nil"/>
              <w:bottom w:val="nil"/>
              <w:right w:val="nil"/>
            </w:tcBorders>
            <w:vAlign w:val="center"/>
          </w:tcPr>
          <w:p w:rsidR="0010072F" w:rsidRDefault="0010072F" w:rsidP="007D3696">
            <w:pPr>
              <w:ind w:firstLine="0"/>
              <w:jc w:val="left"/>
              <w:rPr>
                <w:sz w:val="16"/>
                <w:szCs w:val="16"/>
              </w:rPr>
            </w:pPr>
          </w:p>
          <w:p w:rsidR="00081EDA" w:rsidRDefault="00081EDA"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Default="0095720F" w:rsidP="007D3696">
            <w:pPr>
              <w:ind w:firstLine="0"/>
              <w:jc w:val="left"/>
              <w:rPr>
                <w:sz w:val="16"/>
                <w:szCs w:val="16"/>
              </w:rPr>
            </w:pPr>
          </w:p>
          <w:p w:rsidR="007B3D6F" w:rsidRPr="004E188B" w:rsidRDefault="007B3D6F" w:rsidP="007D3696">
            <w:pPr>
              <w:ind w:firstLine="0"/>
              <w:jc w:val="left"/>
              <w:rPr>
                <w:sz w:val="16"/>
                <w:szCs w:val="16"/>
              </w:rPr>
            </w:pPr>
          </w:p>
        </w:tc>
        <w:tc>
          <w:tcPr>
            <w:tcW w:w="1479"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081EDA">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Go long direction prediction using volume Indicators</w:t>
            </w:r>
          </w:p>
          <w:p w:rsidR="0095720F" w:rsidRDefault="0095720F" w:rsidP="005010DF">
            <w:pPr>
              <w:ind w:firstLine="0"/>
              <w:jc w:val="left"/>
              <w:rPr>
                <w:sz w:val="16"/>
                <w:szCs w:val="16"/>
              </w:rPr>
            </w:pPr>
          </w:p>
          <w:p w:rsidR="007B3D6F" w:rsidRPr="004E188B" w:rsidRDefault="007B3D6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tcBorders>
              <w:top w:val="nil"/>
              <w:left w:val="nil"/>
              <w:bottom w:val="nil"/>
              <w:right w:val="nil"/>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7B3D6F">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Go long direction prediction using momentum indicators</w:t>
            </w:r>
          </w:p>
          <w:p w:rsidR="0095720F" w:rsidRDefault="0095720F" w:rsidP="005010DF">
            <w:pPr>
              <w:ind w:firstLine="0"/>
              <w:jc w:val="left"/>
              <w:rPr>
                <w:sz w:val="16"/>
                <w:szCs w:val="16"/>
              </w:rPr>
            </w:pPr>
          </w:p>
          <w:p w:rsidR="007B3D6F" w:rsidRPr="004E188B" w:rsidRDefault="007B3D6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081EDA">
        <w:trPr>
          <w:jc w:val="center"/>
        </w:trPr>
        <w:tc>
          <w:tcPr>
            <w:tcW w:w="2087" w:type="dxa"/>
            <w:tcBorders>
              <w:top w:val="nil"/>
              <w:left w:val="nil"/>
              <w:bottom w:val="nil"/>
              <w:right w:val="nil"/>
            </w:tcBorders>
            <w:vAlign w:val="center"/>
          </w:tcPr>
          <w:p w:rsidR="007B3D6F" w:rsidRDefault="007B3D6F" w:rsidP="005010DF">
            <w:pPr>
              <w:ind w:firstLine="0"/>
              <w:jc w:val="left"/>
              <w:rPr>
                <w:sz w:val="16"/>
                <w:szCs w:val="16"/>
              </w:rPr>
            </w:pPr>
          </w:p>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7B3D6F" w:rsidRDefault="007B3D6F" w:rsidP="005010DF">
            <w:pPr>
              <w:ind w:firstLine="0"/>
              <w:jc w:val="left"/>
              <w:rPr>
                <w:sz w:val="16"/>
                <w:szCs w:val="16"/>
              </w:rPr>
            </w:pPr>
          </w:p>
          <w:p w:rsidR="0095720F" w:rsidRPr="004E188B" w:rsidRDefault="0095720F" w:rsidP="005010DF">
            <w:pPr>
              <w:ind w:firstLine="0"/>
              <w:jc w:val="left"/>
              <w:rPr>
                <w:sz w:val="16"/>
                <w:szCs w:val="16"/>
              </w:rPr>
            </w:pPr>
          </w:p>
        </w:tc>
        <w:tc>
          <w:tcPr>
            <w:tcW w:w="1479"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tcBorders>
              <w:top w:val="nil"/>
              <w:left w:val="nil"/>
              <w:bottom w:val="nil"/>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081EDA">
        <w:trPr>
          <w:jc w:val="center"/>
        </w:trPr>
        <w:tc>
          <w:tcPr>
            <w:tcW w:w="2087" w:type="dxa"/>
            <w:tcBorders>
              <w:top w:val="nil"/>
              <w:left w:val="nil"/>
              <w:bottom w:val="single" w:sz="4" w:space="0" w:color="auto"/>
              <w:right w:val="nil"/>
            </w:tcBorders>
            <w:vAlign w:val="center"/>
          </w:tcPr>
          <w:p w:rsidR="00081EDA" w:rsidRDefault="00081EDA" w:rsidP="005010DF">
            <w:pPr>
              <w:ind w:firstLine="0"/>
              <w:jc w:val="left"/>
              <w:rPr>
                <w:sz w:val="16"/>
                <w:szCs w:val="16"/>
              </w:rPr>
            </w:pPr>
          </w:p>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081EDA" w:rsidRDefault="00081EDA" w:rsidP="005010DF">
            <w:pPr>
              <w:ind w:firstLine="0"/>
              <w:jc w:val="left"/>
              <w:rPr>
                <w:sz w:val="16"/>
                <w:szCs w:val="16"/>
              </w:rPr>
            </w:pPr>
          </w:p>
          <w:p w:rsidR="0095720F" w:rsidRPr="004E188B" w:rsidRDefault="0095720F" w:rsidP="005010DF">
            <w:pPr>
              <w:ind w:firstLine="0"/>
              <w:jc w:val="left"/>
              <w:rPr>
                <w:sz w:val="16"/>
                <w:szCs w:val="16"/>
              </w:rPr>
            </w:pPr>
          </w:p>
        </w:tc>
        <w:tc>
          <w:tcPr>
            <w:tcW w:w="1479"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tcBorders>
              <w:top w:val="nil"/>
              <w:left w:val="nil"/>
              <w:bottom w:val="single" w:sz="4" w:space="0" w:color="auto"/>
              <w:right w:val="nil"/>
            </w:tcBorders>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057CB8" w:rsidRDefault="00057CB8" w:rsidP="00AC19D7">
      <w:pPr>
        <w:ind w:firstLine="0"/>
      </w:pPr>
    </w:p>
    <w:p w:rsidR="00081EDA" w:rsidRDefault="00081EDA" w:rsidP="00AC19D7">
      <w:pPr>
        <w:ind w:firstLine="0"/>
      </w:pPr>
    </w:p>
    <w:p w:rsidR="00E64334" w:rsidRPr="00E64334" w:rsidRDefault="00BF3A06" w:rsidP="007D3696">
      <w:pPr>
        <w:pStyle w:val="heading2"/>
      </w:pPr>
      <w:r>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081EDA">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Default="00E64334" w:rsidP="0095720F">
            <w:pPr>
              <w:jc w:val="left"/>
              <w:rPr>
                <w:bCs/>
                <w:color w:val="000000"/>
                <w:sz w:val="16"/>
                <w:szCs w:val="16"/>
              </w:rPr>
            </w:pPr>
            <w:r w:rsidRPr="0095720F">
              <w:rPr>
                <w:bCs/>
                <w:color w:val="000000"/>
                <w:sz w:val="16"/>
                <w:szCs w:val="16"/>
              </w:rPr>
              <w:t>Modelling strategies</w:t>
            </w:r>
          </w:p>
          <w:p w:rsidR="00081EDA" w:rsidRPr="0095720F" w:rsidRDefault="00081EDA" w:rsidP="0095720F">
            <w:pPr>
              <w:jc w:val="left"/>
              <w:rPr>
                <w:bCs/>
                <w:color w:val="000000"/>
                <w:sz w:val="16"/>
                <w:szCs w:val="16"/>
              </w:rPr>
            </w:pP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081EDA">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081EDA">
        <w:trPr>
          <w:jc w:val="center"/>
        </w:trPr>
        <w:tc>
          <w:tcPr>
            <w:tcW w:w="2466" w:type="dxa"/>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Go long direction prediction using trend indicators </w:t>
            </w:r>
          </w:p>
          <w:p w:rsidR="00081EDA" w:rsidRPr="00504F48" w:rsidRDefault="00081EDA"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081EDA">
        <w:trPr>
          <w:jc w:val="center"/>
        </w:trPr>
        <w:tc>
          <w:tcPr>
            <w:tcW w:w="2466" w:type="dxa"/>
            <w:tcBorders>
              <w:bottom w:val="single" w:sz="4" w:space="0" w:color="auto"/>
            </w:tcBorders>
            <w:vAlign w:val="center"/>
          </w:tcPr>
          <w:p w:rsidR="00081EDA" w:rsidRDefault="00081EDA"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Default="0095720F" w:rsidP="007D3696">
            <w:pPr>
              <w:ind w:firstLine="0"/>
              <w:jc w:val="left"/>
              <w:rPr>
                <w:sz w:val="16"/>
                <w:szCs w:val="16"/>
              </w:rPr>
            </w:pPr>
          </w:p>
          <w:p w:rsidR="00081EDA" w:rsidRPr="00504F48" w:rsidRDefault="00081EDA" w:rsidP="007D3696">
            <w:pPr>
              <w:ind w:firstLine="0"/>
              <w:jc w:val="left"/>
              <w:rPr>
                <w:sz w:val="16"/>
                <w:szCs w:val="16"/>
              </w:rPr>
            </w:pPr>
          </w:p>
        </w:tc>
        <w:tc>
          <w:tcPr>
            <w:tcW w:w="153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tcBorders>
              <w:bottom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081EDA" w:rsidRDefault="00081EDA"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w:t>
      </w:r>
      <w:r w:rsidR="002B2286">
        <w:t>s information as shown in Fig. 5</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2B2286" w:rsidP="007D3696">
      <w:pPr>
        <w:ind w:firstLine="0"/>
        <w:jc w:val="center"/>
        <w:rPr>
          <w:sz w:val="18"/>
          <w:szCs w:val="18"/>
        </w:rPr>
      </w:pPr>
      <w:r>
        <w:rPr>
          <w:b/>
          <w:sz w:val="18"/>
          <w:szCs w:val="18"/>
        </w:rPr>
        <w:t>Fig.5</w:t>
      </w:r>
      <w:r w:rsidR="00D6717C" w:rsidRPr="007D3696">
        <w:rPr>
          <w:b/>
          <w:sz w:val="18"/>
          <w:szCs w:val="18"/>
        </w:rPr>
        <w:t>.</w:t>
      </w:r>
      <w:r w:rsidR="00D6717C"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w:t>
      </w:r>
      <w:r>
        <w:lastRenderedPageBreak/>
        <w:t xml:space="preserve">0.173818, 0.149589, and 0.005306 </w:t>
      </w:r>
      <w:r w:rsidR="00992C7A">
        <w:t>respectively. Therefore</w:t>
      </w:r>
      <w:r>
        <w:t>, from the results obtained it becomes evident that HFDC shows a better Return vs. Risk performance over the 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D40F5A"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xml:space="preserve">, vol. 14, no. 24, pp. 4492–4501, 2019, </w:t>
      </w:r>
      <w:r w:rsidRPr="00356C74">
        <w:rPr>
          <w:noProof/>
          <w:szCs w:val="24"/>
        </w:rPr>
        <w:lastRenderedPageBreak/>
        <w:t>[Online].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D40F5A" w:rsidP="00356C74">
      <w:pPr>
        <w:widowControl w:val="0"/>
        <w:ind w:left="640" w:hanging="640"/>
      </w:pPr>
      <w:r>
        <w:fldChar w:fldCharType="end"/>
      </w:r>
    </w:p>
    <w:sectPr w:rsidR="000F7CC9" w:rsidSect="009F7FCE">
      <w:headerReference w:type="even" r:id="rId27"/>
      <w:headerReference w:type="default" r:id="rId28"/>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1C8" w:rsidRDefault="001871C8">
      <w:r>
        <w:separator/>
      </w:r>
    </w:p>
  </w:endnote>
  <w:endnote w:type="continuationSeparator" w:id="1">
    <w:p w:rsidR="001871C8" w:rsidRDefault="00187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1C8" w:rsidRDefault="001871C8" w:rsidP="009F7FCE">
      <w:pPr>
        <w:ind w:firstLine="0"/>
      </w:pPr>
      <w:r>
        <w:separator/>
      </w:r>
    </w:p>
  </w:footnote>
  <w:footnote w:type="continuationSeparator" w:id="1">
    <w:p w:rsidR="001871C8" w:rsidRDefault="001871C8"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2D5" w:rsidRDefault="00D40F5A" w:rsidP="00F321B4">
    <w:pPr>
      <w:pStyle w:val="Header"/>
    </w:pPr>
    <w:fldSimple w:instr="PAGE   \* MERGEFORMAT">
      <w:r w:rsidR="002B2286">
        <w:rPr>
          <w:noProof/>
        </w:rPr>
        <w:t>16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2D5" w:rsidRDefault="00D40F5A" w:rsidP="002D48C5">
    <w:pPr>
      <w:pStyle w:val="Header"/>
      <w:jc w:val="right"/>
    </w:pPr>
    <w:fldSimple w:instr="PAGE   \* MERGEFORMAT">
      <w:r w:rsidR="002B2286">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1"/>
  <w:defaultTabStop w:val="227"/>
  <w:autoHyphenation/>
  <w:hyphenationZone w:val="400"/>
  <w:doNotHyphenateCaps/>
  <w:evenAndOddHeaders/>
  <w:noPunctuationKerning/>
  <w:characterSpacingControl w:val="doNotCompress"/>
  <w:hdrShapeDefaults>
    <o:shapedefaults v:ext="edit" spidmax="368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tKwFAO0hFjgtAAAA"/>
  </w:docVars>
  <w:rsids>
    <w:rsidRoot w:val="009F7FCE"/>
    <w:rsid w:val="000346A3"/>
    <w:rsid w:val="00035EF1"/>
    <w:rsid w:val="00057CB8"/>
    <w:rsid w:val="0007472E"/>
    <w:rsid w:val="00081EDA"/>
    <w:rsid w:val="000A4AED"/>
    <w:rsid w:val="000B43A2"/>
    <w:rsid w:val="000F7CC9"/>
    <w:rsid w:val="0010072F"/>
    <w:rsid w:val="00113B37"/>
    <w:rsid w:val="00115C48"/>
    <w:rsid w:val="00141A0B"/>
    <w:rsid w:val="00153369"/>
    <w:rsid w:val="001871C8"/>
    <w:rsid w:val="001A02F0"/>
    <w:rsid w:val="001B2A35"/>
    <w:rsid w:val="001F1DF6"/>
    <w:rsid w:val="00282D31"/>
    <w:rsid w:val="00286A9D"/>
    <w:rsid w:val="002B2286"/>
    <w:rsid w:val="002B47CA"/>
    <w:rsid w:val="002D48C5"/>
    <w:rsid w:val="00320DD2"/>
    <w:rsid w:val="00324C78"/>
    <w:rsid w:val="00350455"/>
    <w:rsid w:val="0035683C"/>
    <w:rsid w:val="00356C74"/>
    <w:rsid w:val="003B4EE8"/>
    <w:rsid w:val="003B4F0E"/>
    <w:rsid w:val="004014E4"/>
    <w:rsid w:val="0040422C"/>
    <w:rsid w:val="004065DC"/>
    <w:rsid w:val="00413C38"/>
    <w:rsid w:val="00426033"/>
    <w:rsid w:val="00435FDC"/>
    <w:rsid w:val="004519AD"/>
    <w:rsid w:val="00455569"/>
    <w:rsid w:val="004615C4"/>
    <w:rsid w:val="0047769A"/>
    <w:rsid w:val="00497F2C"/>
    <w:rsid w:val="004B4409"/>
    <w:rsid w:val="004E2D2B"/>
    <w:rsid w:val="00500369"/>
    <w:rsid w:val="005010DF"/>
    <w:rsid w:val="00521EED"/>
    <w:rsid w:val="00533409"/>
    <w:rsid w:val="00544AF0"/>
    <w:rsid w:val="0054576F"/>
    <w:rsid w:val="00546478"/>
    <w:rsid w:val="00552A20"/>
    <w:rsid w:val="00552C96"/>
    <w:rsid w:val="00562937"/>
    <w:rsid w:val="005A40F3"/>
    <w:rsid w:val="005D62A1"/>
    <w:rsid w:val="005E2779"/>
    <w:rsid w:val="005F37F5"/>
    <w:rsid w:val="005F7473"/>
    <w:rsid w:val="00641B89"/>
    <w:rsid w:val="006843CF"/>
    <w:rsid w:val="00696841"/>
    <w:rsid w:val="006A3E4F"/>
    <w:rsid w:val="006D02D5"/>
    <w:rsid w:val="0070331A"/>
    <w:rsid w:val="007349AA"/>
    <w:rsid w:val="00737096"/>
    <w:rsid w:val="00745636"/>
    <w:rsid w:val="00757E82"/>
    <w:rsid w:val="007662C2"/>
    <w:rsid w:val="00783859"/>
    <w:rsid w:val="00787419"/>
    <w:rsid w:val="0079062C"/>
    <w:rsid w:val="007919F1"/>
    <w:rsid w:val="00792BBC"/>
    <w:rsid w:val="007A1BE0"/>
    <w:rsid w:val="007B3D6F"/>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942CB"/>
    <w:rsid w:val="009B2539"/>
    <w:rsid w:val="009C67AE"/>
    <w:rsid w:val="009D41EF"/>
    <w:rsid w:val="009E4260"/>
    <w:rsid w:val="009F7FCE"/>
    <w:rsid w:val="00A21ED8"/>
    <w:rsid w:val="00A42F80"/>
    <w:rsid w:val="00A75102"/>
    <w:rsid w:val="00A77351"/>
    <w:rsid w:val="00AA4630"/>
    <w:rsid w:val="00AC19D7"/>
    <w:rsid w:val="00B20F9A"/>
    <w:rsid w:val="00B23481"/>
    <w:rsid w:val="00B348DF"/>
    <w:rsid w:val="00B3761B"/>
    <w:rsid w:val="00B66D99"/>
    <w:rsid w:val="00B6742A"/>
    <w:rsid w:val="00B838B3"/>
    <w:rsid w:val="00BB50E3"/>
    <w:rsid w:val="00BF3A06"/>
    <w:rsid w:val="00C00312"/>
    <w:rsid w:val="00C42CA4"/>
    <w:rsid w:val="00C43BA0"/>
    <w:rsid w:val="00C92D2B"/>
    <w:rsid w:val="00CD64AC"/>
    <w:rsid w:val="00CD7C8B"/>
    <w:rsid w:val="00CE5A89"/>
    <w:rsid w:val="00D06331"/>
    <w:rsid w:val="00D0644A"/>
    <w:rsid w:val="00D17474"/>
    <w:rsid w:val="00D22380"/>
    <w:rsid w:val="00D365BB"/>
    <w:rsid w:val="00D40F5A"/>
    <w:rsid w:val="00D43DA2"/>
    <w:rsid w:val="00D521DE"/>
    <w:rsid w:val="00D6717C"/>
    <w:rsid w:val="00DA788A"/>
    <w:rsid w:val="00DB0735"/>
    <w:rsid w:val="00DB71FA"/>
    <w:rsid w:val="00DC2CA9"/>
    <w:rsid w:val="00DC636C"/>
    <w:rsid w:val="00DC6A79"/>
    <w:rsid w:val="00DD6177"/>
    <w:rsid w:val="00E03BC1"/>
    <w:rsid w:val="00E124F2"/>
    <w:rsid w:val="00E21906"/>
    <w:rsid w:val="00E26370"/>
    <w:rsid w:val="00E33208"/>
    <w:rsid w:val="00E603C7"/>
    <w:rsid w:val="00E64334"/>
    <w:rsid w:val="00E76FB3"/>
    <w:rsid w:val="00E8320D"/>
    <w:rsid w:val="00E84C92"/>
    <w:rsid w:val="00E854FE"/>
    <w:rsid w:val="00EB6833"/>
    <w:rsid w:val="00EC4378"/>
    <w:rsid w:val="00F1008C"/>
    <w:rsid w:val="00F119A9"/>
    <w:rsid w:val="00F321B4"/>
    <w:rsid w:val="00F4770E"/>
    <w:rsid w:val="00F506C4"/>
    <w:rsid w:val="00F8429B"/>
    <w:rsid w:val="00F84F0D"/>
    <w:rsid w:val="00F85753"/>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16</Pages>
  <Words>9658</Words>
  <Characters>55052</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47</cp:revision>
  <dcterms:created xsi:type="dcterms:W3CDTF">2023-03-25T09:07:00Z</dcterms:created>
  <dcterms:modified xsi:type="dcterms:W3CDTF">2023-04-23T02:21:00Z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