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lastRenderedPageBreak/>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mean value is greater than the median value meaning Data has a positively skewed distribution which is observed in all 3 stocks namely HDFC, KOTAK, and SBI bank stock. However, SBIBANK stock is looking as the least volatile stock followed by HDFC Bank stock. KOTAK Bank stocks exhibit maximum volatility compared to the other two stocks.</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notably a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8A7482" w:rsidRDefault="009303D9" w:rsidP="008A7482">
      <w:pPr>
        <w:pStyle w:val="BodyText"/>
      </w:pPr>
      <w:r w:rsidRPr="005B520E">
        <w:t>The</w:t>
      </w:r>
      <w:r w:rsidR="008A7482">
        <w:t xml:space="preserve"> HDFC data which is taken from NSE comes with a lot of limitations and that has to be processed which includes the following steps:</w:t>
      </w:r>
    </w:p>
    <w:p w:rsidR="008A7482" w:rsidRDefault="008A7482" w:rsidP="008A7482">
      <w:pPr>
        <w:pStyle w:val="BodyText"/>
      </w:pPr>
      <w:r>
        <w:t xml:space="preserve">Handling Missing values: Three of the features’ trades, ‘Deliverable Volume’, and’% Deliverable had quite one hundred periods of missing values therefore those columns need to be dropped as they are having several missing values. </w:t>
      </w:r>
    </w:p>
    <w:p w:rsidR="008A7482" w:rsidRDefault="008A7482" w:rsidP="008A7482">
      <w:pPr>
        <w:pStyle w:val="BodyText"/>
      </w:pPr>
      <w:r>
        <w:t xml:space="preserve">Features Addition: Additionally, computed variables were added to the dataset that for sure would influence stock returns. These are moving averages for rolling periods of seven days,13 days,20 days,100 days, and two hundred days. conjointly enclosed were EMA for seven days,13 days,20 days,100 days, and two hundred days. one day's previous lag values of volume are also added in the concert of the input feature. </w:t>
      </w:r>
    </w:p>
    <w:p w:rsidR="009303D9" w:rsidRDefault="008A7482" w:rsidP="008A7482">
      <w:pPr>
        <w:pStyle w:val="BodyText"/>
      </w:pPr>
      <w:r>
        <w:t xml:space="preserve">Data Scaling: Minmax Scaler is the data scaling approach that is being used. Here, the minimum of features is created up to zero, and the most of features are up to one. MinMax Scaler shrinks the data inside the given range, from zero to one. </w:t>
      </w:r>
    </w:p>
    <w:p w:rsidR="008A7482" w:rsidRPr="005B520E" w:rsidRDefault="000229D3" w:rsidP="008A7482">
      <w:pPr>
        <w:pStyle w:val="Heading2"/>
      </w:pPr>
      <w:r w:rsidRPr="000229D3">
        <w:t>Data Modeling</w:t>
      </w:r>
    </w:p>
    <w:p w:rsidR="008A7482" w:rsidRPr="008A7482" w:rsidRDefault="008A7482" w:rsidP="00CA407F">
      <w:pPr>
        <w:pStyle w:val="BodyText"/>
      </w:pPr>
      <w:r w:rsidRPr="008A7482">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t>
      </w:r>
      <w:r w:rsidR="00E05368">
        <w:t>are</w:t>
      </w:r>
      <w:r w:rsidRPr="008A7482">
        <w:t xml:space="preserve"> used to create the same five hypothesis testing models. After that, five further ARIMA-based time series models </w:t>
      </w:r>
      <w:r w:rsidR="00ED67D0" w:rsidRPr="008A7482">
        <w:t>are</w:t>
      </w:r>
      <w:r w:rsidRPr="008A7482">
        <w:t xml:space="preserve"> created to support the buy or sell recommendation for every stock.</w:t>
      </w:r>
    </w:p>
    <w:p w:rsidR="008A7482" w:rsidRPr="008A7482" w:rsidRDefault="008A7482" w:rsidP="00CA407F">
      <w:pPr>
        <w:pStyle w:val="BodyText"/>
      </w:pPr>
      <w:r w:rsidRPr="008A7482">
        <w:lastRenderedPageBreak/>
        <w:t xml:space="preserve">Various Classification models namely AutoKeras Classification Model, K-neighbours Classifier Model, and Logistic Regression Classification Model deployed and their prediction accuracy is being compared with SMA Models, EMA Models, and ARIMA Models. </w:t>
      </w:r>
    </w:p>
    <w:p w:rsidR="008A7482" w:rsidRPr="00D7522C" w:rsidRDefault="008A7482" w:rsidP="008A7482">
      <w:pPr>
        <w:pStyle w:val="BodyText"/>
      </w:pPr>
      <w:r w:rsidRPr="008A7482">
        <w:t>Further ahead various Regression Models including both Machine Learning and Deep learning techniques are deployed and Metrics namely MAE and MAPE are deployed to estimate the quality of the predictions on the close price of the HDFC share. These Regression Models are the OLS-Linear Regression Model, Lasso Regression Model, Lasso regression Model Using Cross Validation, The KNN Algorithm, Decision Tree Algorithm, GridSearchCV Algorithm with Hyperparameter Tuning, Random Forest Regression Model, XGBoost ML Model, Using PCA with LSTM, Using PCA with LSTM with Moving Average variables (Feature Engineering), LSTM Neural Network Model, Regression Model using AutoKeras.</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EA53F5" w:rsidP="00ED0149">
      <w:pPr>
        <w:pStyle w:val="Heading2"/>
      </w:pPr>
      <w:r w:rsidRPr="00EA53F5">
        <w:t xml:space="preserve"> SMA EMA T Test Metrics</w:t>
      </w:r>
    </w:p>
    <w:p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132322" w:rsidTr="00047A2E">
        <w:trPr>
          <w:cantSplit/>
          <w:trHeight w:val="409"/>
          <w:tblHeader/>
          <w:jc w:val="center"/>
        </w:trPr>
        <w:tc>
          <w:tcPr>
            <w:tcW w:w="897" w:type="dxa"/>
            <w:vAlign w:val="center"/>
          </w:tcPr>
          <w:p w:rsidR="00132322" w:rsidRDefault="00132322" w:rsidP="00047A2E">
            <w:pPr>
              <w:pStyle w:val="tablecolhead"/>
              <w:jc w:val="both"/>
            </w:pPr>
            <w:r>
              <w:t xml:space="preserve">Serial Numbers </w:t>
            </w:r>
          </w:p>
        </w:tc>
        <w:tc>
          <w:tcPr>
            <w:tcW w:w="630" w:type="dxa"/>
            <w:vAlign w:val="center"/>
          </w:tcPr>
          <w:p w:rsidR="00132322" w:rsidRDefault="00132322" w:rsidP="00047A2E">
            <w:pPr>
              <w:pStyle w:val="tablecolhead"/>
            </w:pPr>
            <w:r>
              <w:t>Total</w:t>
            </w:r>
          </w:p>
        </w:tc>
        <w:tc>
          <w:tcPr>
            <w:tcW w:w="720" w:type="dxa"/>
            <w:vAlign w:val="center"/>
          </w:tcPr>
          <w:p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rsidTr="00047A2E">
        <w:trPr>
          <w:trHeight w:val="237"/>
          <w:jc w:val="center"/>
        </w:trPr>
        <w:tc>
          <w:tcPr>
            <w:tcW w:w="897" w:type="dxa"/>
            <w:vAlign w:val="center"/>
          </w:tcPr>
          <w:p w:rsidR="00132322" w:rsidRPr="006A0BB6" w:rsidRDefault="00132322" w:rsidP="00047A2E">
            <w:pPr>
              <w:pStyle w:val="tablecopy"/>
              <w:rPr>
                <w:b/>
                <w:bCs/>
                <w:sz w:val="8"/>
                <w:szCs w:val="8"/>
              </w:rPr>
            </w:pPr>
            <w:r w:rsidRPr="006A0BB6">
              <w:rPr>
                <w:b/>
                <w:bCs/>
              </w:rPr>
              <w:t>SMA7</w:t>
            </w:r>
          </w:p>
        </w:tc>
        <w:tc>
          <w:tcPr>
            <w:tcW w:w="630" w:type="dxa"/>
            <w:vAlign w:val="center"/>
          </w:tcPr>
          <w:p w:rsidR="00132322" w:rsidRPr="006A0BB6" w:rsidRDefault="00132322" w:rsidP="00047A2E">
            <w:pPr>
              <w:pStyle w:val="tablecopy"/>
              <w:rPr>
                <w:b/>
                <w:bCs/>
              </w:rPr>
            </w:pPr>
            <w:r w:rsidRPr="006A0BB6">
              <w:rPr>
                <w:b/>
                <w:bCs/>
              </w:rPr>
              <w:t>5297</w:t>
            </w:r>
          </w:p>
        </w:tc>
        <w:tc>
          <w:tcPr>
            <w:tcW w:w="720" w:type="dxa"/>
            <w:vAlign w:val="center"/>
          </w:tcPr>
          <w:p w:rsidR="00132322" w:rsidRPr="006A0BB6" w:rsidRDefault="00132322" w:rsidP="00047A2E">
            <w:pPr>
              <w:rPr>
                <w:b/>
                <w:bCs/>
                <w:sz w:val="16"/>
                <w:szCs w:val="16"/>
              </w:rPr>
            </w:pPr>
            <w:r w:rsidRPr="006A0BB6">
              <w:rPr>
                <w:b/>
                <w:bCs/>
                <w:sz w:val="16"/>
                <w:szCs w:val="16"/>
              </w:rPr>
              <w:t>4114</w:t>
            </w:r>
          </w:p>
        </w:tc>
        <w:tc>
          <w:tcPr>
            <w:tcW w:w="720" w:type="dxa"/>
            <w:vAlign w:val="center"/>
          </w:tcPr>
          <w:p w:rsidR="00132322" w:rsidRPr="006A0BB6" w:rsidRDefault="00132322" w:rsidP="00047A2E">
            <w:pPr>
              <w:rPr>
                <w:b/>
                <w:bCs/>
                <w:sz w:val="16"/>
                <w:szCs w:val="16"/>
              </w:rPr>
            </w:pPr>
            <w:r w:rsidRPr="006A0BB6">
              <w:rPr>
                <w:b/>
                <w:bCs/>
                <w:sz w:val="16"/>
                <w:szCs w:val="16"/>
              </w:rPr>
              <w:t>1183</w:t>
            </w:r>
          </w:p>
        </w:tc>
        <w:tc>
          <w:tcPr>
            <w:tcW w:w="990" w:type="dxa"/>
          </w:tcPr>
          <w:p w:rsidR="00132322" w:rsidRPr="006A0BB6" w:rsidRDefault="00132322" w:rsidP="00047A2E">
            <w:pPr>
              <w:rPr>
                <w:b/>
                <w:bCs/>
                <w:sz w:val="16"/>
                <w:szCs w:val="16"/>
              </w:rPr>
            </w:pPr>
            <w:r w:rsidRPr="006A0BB6">
              <w:rPr>
                <w:b/>
                <w:bCs/>
                <w:sz w:val="16"/>
                <w:szCs w:val="16"/>
              </w:rPr>
              <w:t>77.67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65.66</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60.88</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76.97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65.89</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61.24</w:t>
            </w:r>
          </w:p>
        </w:tc>
      </w:tr>
    </w:tbl>
    <w:p w:rsidR="00132322" w:rsidRDefault="00132322"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9303D9" w:rsidRDefault="009D59DA" w:rsidP="009D59DA">
      <w:pPr>
        <w:pStyle w:val="BodyText"/>
      </w:pPr>
      <w:r w:rsidRPr="009D59DA">
        <w:t>From Table 1, It can be observed that T-test Hypothesis testing done for 7-days SMA has given the highest efficiency in correctly predicting the upward or downward trend closely followed by 7-days EMA. However, prediction efficiency is the least for 20-day SMA and 20-days EMA</w:t>
      </w:r>
      <w:r>
        <w:t>.</w:t>
      </w:r>
    </w:p>
    <w:p w:rsidR="009D59DA" w:rsidRDefault="009D59DA" w:rsidP="009D59DA">
      <w:pPr>
        <w:pStyle w:val="Heading2"/>
      </w:pPr>
      <w:r w:rsidRPr="00EA53F5">
        <w:t xml:space="preserve">SMA EMA </w:t>
      </w:r>
      <w:r w:rsidR="000A74DE">
        <w:t>Z</w:t>
      </w:r>
      <w:r w:rsidRPr="00EA53F5">
        <w:t xml:space="preserve"> Test Metrics</w:t>
      </w:r>
    </w:p>
    <w:p w:rsidR="009303D9" w:rsidRDefault="000A74DE" w:rsidP="000A74DE">
      <w:pPr>
        <w:pStyle w:val="Heading4"/>
        <w:numPr>
          <w:ilvl w:val="0"/>
          <w:numId w:val="0"/>
        </w:numPr>
        <w:ind w:firstLine="504"/>
        <w:rPr>
          <w:i w:val="0"/>
        </w:rPr>
      </w:pPr>
      <w:r w:rsidRPr="000A74DE">
        <w:rPr>
          <w:i w:val="0"/>
        </w:rPr>
        <w:t>The hypothesis testing rule's accuracy is repeatedly verified. Z-test is employed to perform hypothesis testing because the sample size for testing is more than 30 samples. SMA of 100,200 days and EMA with 100 days and 200 days spans are employed to recreate the various models.</w:t>
      </w:r>
    </w:p>
    <w:p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883F15" w:rsidTr="00145B99">
        <w:trPr>
          <w:cantSplit/>
          <w:trHeight w:val="409"/>
          <w:tblHeader/>
          <w:jc w:val="center"/>
        </w:trPr>
        <w:tc>
          <w:tcPr>
            <w:tcW w:w="897" w:type="dxa"/>
            <w:vAlign w:val="center"/>
          </w:tcPr>
          <w:p w:rsidR="00883F15" w:rsidRDefault="00883F15" w:rsidP="00883F15">
            <w:pPr>
              <w:pStyle w:val="tablecolhead"/>
              <w:jc w:val="both"/>
            </w:pPr>
            <w:r>
              <w:lastRenderedPageBreak/>
              <w:t xml:space="preserve">Serial Numbers </w:t>
            </w:r>
          </w:p>
        </w:tc>
        <w:tc>
          <w:tcPr>
            <w:tcW w:w="630" w:type="dxa"/>
            <w:vAlign w:val="center"/>
          </w:tcPr>
          <w:p w:rsidR="00883F15" w:rsidRDefault="00883F15" w:rsidP="00883F15">
            <w:pPr>
              <w:pStyle w:val="tablecolhead"/>
            </w:pPr>
            <w:r>
              <w:t>Total</w:t>
            </w:r>
          </w:p>
        </w:tc>
        <w:tc>
          <w:tcPr>
            <w:tcW w:w="720" w:type="dxa"/>
            <w:vAlign w:val="center"/>
          </w:tcPr>
          <w:p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rsidTr="00145B99">
        <w:trPr>
          <w:trHeight w:val="237"/>
          <w:jc w:val="center"/>
        </w:trPr>
        <w:tc>
          <w:tcPr>
            <w:tcW w:w="897" w:type="dxa"/>
            <w:vAlign w:val="center"/>
          </w:tcPr>
          <w:p w:rsidR="00883F15" w:rsidRPr="006A0BB6" w:rsidRDefault="00883F15">
            <w:pPr>
              <w:pStyle w:val="tablecopy"/>
              <w:rPr>
                <w:sz w:val="8"/>
                <w:szCs w:val="8"/>
              </w:rPr>
            </w:pPr>
            <w:r w:rsidRPr="006A0BB6">
              <w:t>SMA</w:t>
            </w:r>
            <w:r w:rsidR="00764199" w:rsidRPr="006A0BB6">
              <w:t>100</w:t>
            </w:r>
          </w:p>
        </w:tc>
        <w:tc>
          <w:tcPr>
            <w:tcW w:w="630" w:type="dxa"/>
            <w:vAlign w:val="center"/>
          </w:tcPr>
          <w:p w:rsidR="00883F15" w:rsidRPr="006A0BB6" w:rsidRDefault="00764199">
            <w:pPr>
              <w:pStyle w:val="tablecopy"/>
            </w:pPr>
            <w:r w:rsidRPr="006A0BB6">
              <w:t>5204</w:t>
            </w:r>
          </w:p>
        </w:tc>
        <w:tc>
          <w:tcPr>
            <w:tcW w:w="720" w:type="dxa"/>
            <w:vAlign w:val="center"/>
          </w:tcPr>
          <w:p w:rsidR="00883F15" w:rsidRPr="006A0BB6" w:rsidRDefault="001544FA">
            <w:pPr>
              <w:rPr>
                <w:sz w:val="16"/>
                <w:szCs w:val="16"/>
              </w:rPr>
            </w:pPr>
            <w:r w:rsidRPr="006A0BB6">
              <w:rPr>
                <w:sz w:val="16"/>
                <w:szCs w:val="16"/>
              </w:rPr>
              <w:t>2798</w:t>
            </w:r>
          </w:p>
        </w:tc>
        <w:tc>
          <w:tcPr>
            <w:tcW w:w="720" w:type="dxa"/>
            <w:vAlign w:val="center"/>
          </w:tcPr>
          <w:p w:rsidR="00883F15" w:rsidRPr="006A0BB6" w:rsidRDefault="001544FA">
            <w:pPr>
              <w:rPr>
                <w:sz w:val="16"/>
                <w:szCs w:val="16"/>
              </w:rPr>
            </w:pPr>
            <w:r w:rsidRPr="006A0BB6">
              <w:rPr>
                <w:sz w:val="16"/>
                <w:szCs w:val="16"/>
              </w:rPr>
              <w:t>2406</w:t>
            </w:r>
          </w:p>
        </w:tc>
        <w:tc>
          <w:tcPr>
            <w:tcW w:w="990" w:type="dxa"/>
          </w:tcPr>
          <w:p w:rsidR="00883F15" w:rsidRPr="006A0BB6" w:rsidRDefault="001544FA">
            <w:pPr>
              <w:rPr>
                <w:sz w:val="16"/>
                <w:szCs w:val="16"/>
              </w:rPr>
            </w:pPr>
            <w:r w:rsidRPr="006A0BB6">
              <w:rPr>
                <w:sz w:val="16"/>
                <w:szCs w:val="16"/>
              </w:rPr>
              <w:t>53.77</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53.96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54.36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lastRenderedPageBreak/>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54.55</w:t>
            </w:r>
          </w:p>
        </w:tc>
      </w:tr>
    </w:tbl>
    <w:p w:rsidR="001544FA" w:rsidRDefault="001544FA" w:rsidP="001544FA">
      <w:pPr>
        <w:jc w:val="both"/>
        <w:rPr>
          <w:noProof/>
          <w:sz w:val="16"/>
          <w:szCs w:val="16"/>
        </w:rPr>
      </w:pPr>
    </w:p>
    <w:p w:rsidR="00A578FF" w:rsidRDefault="00A578FF" w:rsidP="001544FA">
      <w:pPr>
        <w:jc w:val="both"/>
        <w:rPr>
          <w:noProof/>
          <w:sz w:val="16"/>
          <w:szCs w:val="16"/>
        </w:rPr>
      </w:pPr>
    </w:p>
    <w:p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rsidR="00A578FF" w:rsidRDefault="00A578FF" w:rsidP="00A578FF">
      <w:pPr>
        <w:jc w:val="both"/>
        <w:rPr>
          <w:noProof/>
          <w:sz w:val="16"/>
          <w:szCs w:val="16"/>
        </w:rPr>
      </w:pPr>
    </w:p>
    <w:p w:rsidR="00A578FF" w:rsidRDefault="00A578FF" w:rsidP="00A578FF">
      <w:pPr>
        <w:pStyle w:val="BodyText"/>
      </w:pPr>
      <w:r w:rsidRPr="009D59DA">
        <w:t xml:space="preserve">From Table </w:t>
      </w:r>
      <w: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lastRenderedPageBreak/>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lastRenderedPageBreak/>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lastRenderedPageBreak/>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It can be observed that the OLS-Linear Regression Model, Random Forest Regression Model, Using PCA with LSTM, and Regression Model using AutoKeras provide MAE&lt;=5 and MAPE&lt;=0.33. Hence 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This paper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 xml:space="preserve">future, it can be shown how to define Bullish and Bearish regimes using modern machine learning techniques. The Sentiment Analysis Approach may also need to be explored using Text Analytics for predicting </w:t>
      </w:r>
      <w:r w:rsidRPr="00060E5C">
        <w:lastRenderedPageBreak/>
        <w:t>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5"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6"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48C" w:rsidRDefault="007D448C" w:rsidP="001A3B3D">
      <w:r>
        <w:separator/>
      </w:r>
    </w:p>
  </w:endnote>
  <w:endnote w:type="continuationSeparator" w:id="1">
    <w:p w:rsidR="007D448C" w:rsidRDefault="007D448C"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48C" w:rsidRDefault="007D448C" w:rsidP="001A3B3D">
      <w:r>
        <w:separator/>
      </w:r>
    </w:p>
  </w:footnote>
  <w:footnote w:type="continuationSeparator" w:id="1">
    <w:p w:rsidR="007D448C" w:rsidRDefault="007D448C"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rQUAfbGKLywAAAA="/>
  </w:docVars>
  <w:rsids>
    <w:rsidRoot w:val="009303D9"/>
    <w:rsid w:val="00003B89"/>
    <w:rsid w:val="00013FCE"/>
    <w:rsid w:val="000229D3"/>
    <w:rsid w:val="00024FFE"/>
    <w:rsid w:val="00025778"/>
    <w:rsid w:val="0004781E"/>
    <w:rsid w:val="0005593F"/>
    <w:rsid w:val="00060E5C"/>
    <w:rsid w:val="0008758A"/>
    <w:rsid w:val="000A74DE"/>
    <w:rsid w:val="000B1883"/>
    <w:rsid w:val="000C0747"/>
    <w:rsid w:val="000C1E68"/>
    <w:rsid w:val="00132322"/>
    <w:rsid w:val="001408FA"/>
    <w:rsid w:val="00145B99"/>
    <w:rsid w:val="00153C1D"/>
    <w:rsid w:val="001544FA"/>
    <w:rsid w:val="001869D0"/>
    <w:rsid w:val="00193A5F"/>
    <w:rsid w:val="001A2EFD"/>
    <w:rsid w:val="001A3B3D"/>
    <w:rsid w:val="001B67DC"/>
    <w:rsid w:val="001F3948"/>
    <w:rsid w:val="002254A9"/>
    <w:rsid w:val="00233D97"/>
    <w:rsid w:val="002347A2"/>
    <w:rsid w:val="00240F15"/>
    <w:rsid w:val="00246EA0"/>
    <w:rsid w:val="002631D8"/>
    <w:rsid w:val="002850E3"/>
    <w:rsid w:val="00290C82"/>
    <w:rsid w:val="002A45EA"/>
    <w:rsid w:val="002B0972"/>
    <w:rsid w:val="002B0F4D"/>
    <w:rsid w:val="002C0627"/>
    <w:rsid w:val="002D205C"/>
    <w:rsid w:val="002E6508"/>
    <w:rsid w:val="002F20C7"/>
    <w:rsid w:val="0030065F"/>
    <w:rsid w:val="00302062"/>
    <w:rsid w:val="003125F0"/>
    <w:rsid w:val="00353721"/>
    <w:rsid w:val="00354FCF"/>
    <w:rsid w:val="0036154F"/>
    <w:rsid w:val="0036570D"/>
    <w:rsid w:val="003A19E2"/>
    <w:rsid w:val="003A75B3"/>
    <w:rsid w:val="003B2B40"/>
    <w:rsid w:val="003B4E04"/>
    <w:rsid w:val="003C2384"/>
    <w:rsid w:val="003F5A08"/>
    <w:rsid w:val="00420716"/>
    <w:rsid w:val="004325FB"/>
    <w:rsid w:val="00433EAB"/>
    <w:rsid w:val="004432BA"/>
    <w:rsid w:val="0044407E"/>
    <w:rsid w:val="00447BB9"/>
    <w:rsid w:val="0046031D"/>
    <w:rsid w:val="00465D34"/>
    <w:rsid w:val="00473AC9"/>
    <w:rsid w:val="00476A2E"/>
    <w:rsid w:val="004777A2"/>
    <w:rsid w:val="004D449D"/>
    <w:rsid w:val="004D72B5"/>
    <w:rsid w:val="004E3826"/>
    <w:rsid w:val="004F11DC"/>
    <w:rsid w:val="00501F8D"/>
    <w:rsid w:val="00510E5C"/>
    <w:rsid w:val="005120A8"/>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2C62"/>
    <w:rsid w:val="006C3142"/>
    <w:rsid w:val="006C7E6C"/>
    <w:rsid w:val="006E1CEF"/>
    <w:rsid w:val="006E7823"/>
    <w:rsid w:val="006F1FFB"/>
    <w:rsid w:val="006F6D3D"/>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791D"/>
    <w:rsid w:val="00833F6D"/>
    <w:rsid w:val="00836367"/>
    <w:rsid w:val="00850424"/>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2A02"/>
    <w:rsid w:val="009B64E5"/>
    <w:rsid w:val="009D59DA"/>
    <w:rsid w:val="009E0DCC"/>
    <w:rsid w:val="009F1D79"/>
    <w:rsid w:val="009F6F7B"/>
    <w:rsid w:val="00A059B3"/>
    <w:rsid w:val="00A173EF"/>
    <w:rsid w:val="00A23F0C"/>
    <w:rsid w:val="00A43697"/>
    <w:rsid w:val="00A55B2A"/>
    <w:rsid w:val="00A578FF"/>
    <w:rsid w:val="00A81E93"/>
    <w:rsid w:val="00A86D4F"/>
    <w:rsid w:val="00AC0117"/>
    <w:rsid w:val="00AC6915"/>
    <w:rsid w:val="00AE3409"/>
    <w:rsid w:val="00B11A60"/>
    <w:rsid w:val="00B20EB5"/>
    <w:rsid w:val="00B22613"/>
    <w:rsid w:val="00B33D01"/>
    <w:rsid w:val="00B44A76"/>
    <w:rsid w:val="00B67A8F"/>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92E10"/>
    <w:rsid w:val="00DC05C2"/>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800BF"/>
    <w:rsid w:val="00F847A6"/>
    <w:rsid w:val="00F9441B"/>
    <w:rsid w:val="00FA4C32"/>
    <w:rsid w:val="00FA50CF"/>
    <w:rsid w:val="00FB7711"/>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8/1742-6596/1195/1/01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ipublicatio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BEFF-C462-44AE-B07C-5EA410F6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364</cp:revision>
  <dcterms:created xsi:type="dcterms:W3CDTF">2019-09-09T09:57:00Z</dcterms:created>
  <dcterms:modified xsi:type="dcterms:W3CDTF">2023-02-03T06:17:00Z</dcterms:modified>
</cp:coreProperties>
</file>