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22C" w:rsidRPr="00CA4392" w:rsidRDefault="0022022C" w:rsidP="00BA5C1E">
      <w:pPr>
        <w:pStyle w:val="papertitle"/>
        <w:spacing w:before="100" w:beforeAutospacing="1" w:after="100" w:afterAutospacing="1"/>
        <w:rPr>
          <w:sz w:val="16"/>
          <w:szCs w:val="16"/>
        </w:rPr>
        <w:sectPr w:rsidR="00D7522C" w:rsidRPr="00CA4392" w:rsidSect="003B4E04">
          <w:pgSz w:w="11906" w:h="16838" w:code="9"/>
          <w:pgMar w:top="540" w:right="893" w:bottom="1440" w:left="893" w:header="720" w:footer="720" w:gutter="0"/>
          <w:cols w:space="720"/>
          <w:titlePg/>
          <w:docGrid w:linePitch="360"/>
        </w:sectPr>
      </w:pPr>
      <w:r>
        <w:rPr>
          <w:kern w:val="48"/>
        </w:rPr>
        <w:t>Direction D</w:t>
      </w:r>
      <w:r w:rsidR="003A75B3" w:rsidRPr="0087015A">
        <w:rPr>
          <w:kern w:val="48"/>
        </w:rPr>
        <w:t xml:space="preserve">etection </w:t>
      </w:r>
      <w:r w:rsidR="00BA5C1E" w:rsidRPr="00BA5C1E">
        <w:rPr>
          <w:kern w:val="48"/>
        </w:rPr>
        <w:t xml:space="preserve"> of Select Stocks </w:t>
      </w:r>
      <w:r w:rsidR="00BA5C1E" w:rsidRPr="00BA5C1E">
        <w:rPr>
          <w:kern w:val="48"/>
        </w:rPr>
        <w:br/>
        <w:t>with Machine Learning</w:t>
      </w: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FB0A2B">
        <w:rPr>
          <w:rFonts w:eastAsia="Calibri"/>
          <w:bCs/>
        </w:rPr>
        <w:t>S</w:t>
      </w:r>
      <w:r w:rsidR="003125F0" w:rsidRPr="003125F0">
        <w:rPr>
          <w:rFonts w:eastAsia="Calibri"/>
          <w:bCs/>
        </w:rPr>
        <w:t>everal research initiatives have been taken to predict stock market</w:t>
      </w:r>
      <w:r w:rsidR="00C14744">
        <w:rPr>
          <w:rFonts w:eastAsia="Calibri"/>
          <w:bCs/>
        </w:rPr>
        <w:t xml:space="preserve"> returns using historical data.</w:t>
      </w:r>
      <w:r w:rsidR="00B95D60" w:rsidRPr="00B95D60">
        <w:t xml:space="preserve"> </w:t>
      </w:r>
      <w:r w:rsidR="00B95D60" w:rsidRPr="00B95D60">
        <w:rPr>
          <w:rFonts w:eastAsia="Calibri"/>
          <w:bCs/>
        </w:rPr>
        <w:t>Investors can find plenty of algorithms that detect the exact closing price of any stock but will not tell the direction of the closing price.</w:t>
      </w:r>
      <w:r w:rsidR="00B95D60">
        <w:rPr>
          <w:rFonts w:eastAsia="Calibri"/>
          <w:bCs/>
        </w:rPr>
        <w:t xml:space="preserve"> </w:t>
      </w:r>
      <w:r w:rsidR="003125F0" w:rsidRPr="003125F0">
        <w:rPr>
          <w:rFonts w:eastAsia="Calibri"/>
          <w:bCs/>
        </w:rPr>
        <w:t xml:space="preserve">During this </w:t>
      </w:r>
      <w:r w:rsidR="002F29ED" w:rsidRPr="002F29ED">
        <w:rPr>
          <w:rFonts w:eastAsia="Calibri"/>
          <w:bCs/>
        </w:rPr>
        <w:t>proposed work</w:t>
      </w:r>
      <w:r w:rsidR="003125F0" w:rsidRPr="003125F0">
        <w:rPr>
          <w:rFonts w:eastAsia="Calibri"/>
          <w:bCs/>
        </w:rPr>
        <w:t>, twenty-two years' price of the stock's daily close price is being utilized for direction detecti</w:t>
      </w:r>
      <w:r w:rsidR="002F29ED">
        <w:rPr>
          <w:rFonts w:eastAsia="Calibri"/>
          <w:bCs/>
        </w:rPr>
        <w:t>on. The objective of this paper</w:t>
      </w:r>
      <w:r w:rsidR="003125F0" w:rsidRPr="003125F0">
        <w:rPr>
          <w:rFonts w:eastAsia="Calibri"/>
          <w:bCs/>
        </w:rPr>
        <w:t xml:space="preserve"> is to get the right stock and understand the data patt</w:t>
      </w:r>
      <w:r w:rsidR="00FB0A2B">
        <w:rPr>
          <w:rFonts w:eastAsia="Calibri"/>
          <w:bCs/>
        </w:rPr>
        <w:t>ern using exploratory data a</w:t>
      </w:r>
      <w:r w:rsidR="003125F0" w:rsidRPr="003125F0">
        <w:rPr>
          <w:rFonts w:eastAsia="Calibri"/>
          <w:bCs/>
        </w:rPr>
        <w:t xml:space="preserve">nalysis and perform data preparation and then build the </w:t>
      </w:r>
      <w:r w:rsidR="00FB0A2B">
        <w:rPr>
          <w:rFonts w:eastAsia="Calibri"/>
          <w:bCs/>
        </w:rPr>
        <w:t>right models by using multiple m</w:t>
      </w:r>
      <w:r w:rsidR="003125F0" w:rsidRPr="003125F0">
        <w:rPr>
          <w:rFonts w:eastAsia="Calibri"/>
          <w:bCs/>
        </w:rPr>
        <w:t xml:space="preserve">odelling techniques to predict whether the price will move up or move down. Closing prices </w:t>
      </w:r>
      <w:r w:rsidR="00006DAC">
        <w:rPr>
          <w:rFonts w:eastAsia="Calibri"/>
          <w:bCs/>
        </w:rPr>
        <w:t>are</w:t>
      </w:r>
      <w:r w:rsidR="003125F0" w:rsidRPr="003125F0">
        <w:rPr>
          <w:rFonts w:eastAsia="Calibri"/>
          <w:bCs/>
        </w:rPr>
        <w:t xml:space="preserve"> being utilized as </w:t>
      </w:r>
      <w:r w:rsidR="00B95D60">
        <w:rPr>
          <w:rFonts w:eastAsia="Calibri"/>
          <w:bCs/>
        </w:rPr>
        <w:t>six</w:t>
      </w:r>
      <w:r w:rsidR="003125F0" w:rsidRPr="003125F0">
        <w:rPr>
          <w:rFonts w:eastAsia="Calibri"/>
          <w:bCs/>
        </w:rPr>
        <w:t xml:space="preserve"> different feature variables f</w:t>
      </w:r>
      <w:r w:rsidR="00FB0A2B">
        <w:rPr>
          <w:rFonts w:eastAsia="Calibri"/>
          <w:bCs/>
        </w:rPr>
        <w:t>or building the classification m</w:t>
      </w:r>
      <w:r w:rsidR="003125F0" w:rsidRPr="003125F0">
        <w:rPr>
          <w:rFonts w:eastAsia="Calibri"/>
          <w:bCs/>
        </w:rPr>
        <w:t>od</w:t>
      </w:r>
      <w:r w:rsidR="00B95D60">
        <w:rPr>
          <w:rFonts w:eastAsia="Calibri"/>
          <w:bCs/>
        </w:rPr>
        <w:t>el. The difference between the seven</w:t>
      </w:r>
      <w:r w:rsidR="00B95D60" w:rsidRPr="003125F0">
        <w:rPr>
          <w:rFonts w:eastAsia="Calibri"/>
          <w:bCs/>
        </w:rPr>
        <w:t>th</w:t>
      </w:r>
      <w:r w:rsidR="003125F0" w:rsidRPr="003125F0">
        <w:rPr>
          <w:rFonts w:eastAsia="Calibri"/>
          <w:bCs/>
        </w:rPr>
        <w:t xml:space="preserve"> and </w:t>
      </w:r>
      <w:r w:rsidR="00B95D60">
        <w:rPr>
          <w:rFonts w:eastAsia="Calibri"/>
          <w:bCs/>
        </w:rPr>
        <w:t>eigh</w:t>
      </w:r>
      <w:r w:rsidR="002F502B">
        <w:rPr>
          <w:rFonts w:eastAsia="Calibri"/>
          <w:bCs/>
        </w:rPr>
        <w:t xml:space="preserve">th </w:t>
      </w:r>
      <w:r w:rsidR="003125F0" w:rsidRPr="003125F0">
        <w:rPr>
          <w:rFonts w:eastAsia="Calibri"/>
          <w:bCs/>
        </w:rPr>
        <w:t xml:space="preserve">day </w:t>
      </w:r>
      <w:r w:rsidR="00BD4744">
        <w:rPr>
          <w:rFonts w:eastAsia="Calibri"/>
          <w:bCs/>
        </w:rPr>
        <w:t>c</w:t>
      </w:r>
      <w:r w:rsidR="003125F0" w:rsidRPr="003125F0">
        <w:rPr>
          <w:rFonts w:eastAsia="Calibri"/>
          <w:bCs/>
        </w:rPr>
        <w:t>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 xml:space="preserve">imilar process is again repeated for a range of consecutive days to be utilized as the feature variable increased to </w:t>
      </w:r>
      <w:r w:rsidR="00B95D60">
        <w:rPr>
          <w:rFonts w:eastAsia="Calibri"/>
          <w:bCs/>
        </w:rPr>
        <w:t>ten</w:t>
      </w:r>
      <w:r w:rsidR="003125F0" w:rsidRPr="003125F0">
        <w:rPr>
          <w:rFonts w:eastAsia="Calibri"/>
          <w:bCs/>
        </w:rPr>
        <w:t xml:space="preserve"> days and </w:t>
      </w:r>
      <w:r w:rsidR="00B95D60">
        <w:rPr>
          <w:rFonts w:eastAsia="Calibri"/>
          <w:bCs/>
        </w:rPr>
        <w:t>fourteen</w:t>
      </w:r>
      <w:r w:rsidR="003125F0" w:rsidRPr="003125F0">
        <w:rPr>
          <w:rFonts w:eastAsia="Calibri"/>
          <w:bCs/>
        </w:rPr>
        <w:t xml:space="preserve"> days</w:t>
      </w:r>
      <w:r w:rsidR="00BD4744">
        <w:rPr>
          <w:rFonts w:eastAsia="Calibri"/>
          <w:bCs/>
        </w:rPr>
        <w:t xml:space="preserve"> respectively</w:t>
      </w:r>
      <w:r w:rsidR="003125F0" w:rsidRPr="003125F0">
        <w:rPr>
          <w:rFonts w:eastAsia="Calibri"/>
          <w:bCs/>
        </w:rPr>
        <w:t>.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w:t>
      </w:r>
      <w:r w:rsidR="00BD4744">
        <w:rPr>
          <w:rFonts w:eastAsia="Calibri"/>
          <w:bCs/>
        </w:rPr>
        <w:t xml:space="preserve">and momentum indicators whereas </w:t>
      </w:r>
      <w:r w:rsidR="0024145E">
        <w:rPr>
          <w:rFonts w:eastAsia="Calibri"/>
          <w:bCs/>
        </w:rPr>
        <w:t xml:space="preserve">the </w:t>
      </w:r>
      <w:r w:rsidR="00BD4744">
        <w:rPr>
          <w:rFonts w:eastAsia="Calibri"/>
          <w:bCs/>
        </w:rPr>
        <w:t>extreme g</w:t>
      </w:r>
      <w:r w:rsidR="00BD4744" w:rsidRPr="00BD4744">
        <w:rPr>
          <w:rFonts w:eastAsia="Calibri"/>
          <w:bCs/>
        </w:rPr>
        <w:t>radient</w:t>
      </w:r>
      <w:r w:rsidR="00BD4744">
        <w:rPr>
          <w:rFonts w:eastAsia="Calibri"/>
          <w:bCs/>
        </w:rPr>
        <w:t xml:space="preserve"> boost c</w:t>
      </w:r>
      <w:r w:rsidR="003125F0" w:rsidRPr="003125F0">
        <w:rPr>
          <w:rFonts w:eastAsia="Calibri"/>
          <w:bCs/>
        </w:rPr>
        <w:t xml:space="preserve">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w:t>
      </w:r>
      <w:r w:rsidR="00FB0A2B" w:rsidRPr="00FB0A2B">
        <w:rPr>
          <w:rFonts w:eastAsia="Calibri"/>
          <w:bCs/>
        </w:rPr>
        <w:t>proposed work</w:t>
      </w:r>
      <w:r w:rsidR="003125F0" w:rsidRPr="003125F0">
        <w:rPr>
          <w:rFonts w:eastAsia="Calibri"/>
          <w:bCs/>
        </w:rPr>
        <w:t xml:space="preserve"> is that various classification modelling techniques had been remarkably useful in direction detection for the stock under consideration.</w:t>
      </w:r>
    </w:p>
    <w:p w:rsidR="003125F0" w:rsidRDefault="003125F0" w:rsidP="00BD742F">
      <w:pPr>
        <w:jc w:val="both"/>
        <w:rPr>
          <w:rFonts w:eastAsia="Calibri"/>
          <w:bCs/>
        </w:rPr>
      </w:pPr>
    </w:p>
    <w:p w:rsidR="006C111C" w:rsidRPr="002F29ED" w:rsidRDefault="00C56CC3" w:rsidP="002F29ED">
      <w:pPr>
        <w:pStyle w:val="Keywords"/>
      </w:pPr>
      <w:r w:rsidRPr="004D72B5">
        <w:t>Keywords—</w:t>
      </w:r>
      <w:r w:rsidR="006C111C" w:rsidRPr="006C111C">
        <w:t xml:space="preserve"> </w:t>
      </w:r>
      <w:r w:rsidR="006C111C" w:rsidRPr="0004304D">
        <w:t xml:space="preserve">Direction </w:t>
      </w:r>
      <w:r w:rsidR="006C111C">
        <w:t>detection</w:t>
      </w:r>
      <w:r w:rsidR="002F502B">
        <w:t>, s</w:t>
      </w:r>
      <w:r w:rsidR="006C111C" w:rsidRPr="0004304D">
        <w:t xml:space="preserve">tock </w:t>
      </w:r>
      <w:r w:rsidR="002F502B">
        <w:t>m</w:t>
      </w:r>
      <w:r w:rsidR="006C111C" w:rsidRPr="0004304D">
        <w:t xml:space="preserve">arket, </w:t>
      </w:r>
      <w:r w:rsidR="002F502B">
        <w:t>technical indicators, classification m</w:t>
      </w:r>
      <w:r w:rsidR="006C111C" w:rsidRPr="0004304D">
        <w:t>odels, HDFC</w:t>
      </w:r>
      <w:r w:rsidR="006C111C">
        <w:t>, KOTAK, SBI</w:t>
      </w:r>
    </w:p>
    <w:p w:rsidR="009303D9" w:rsidRDefault="009303D9" w:rsidP="006B6B66">
      <w:pPr>
        <w:pStyle w:val="Heading1"/>
      </w:pPr>
      <w:r w:rsidRPr="00D632BE">
        <w:t xml:space="preserve">Introduction </w:t>
      </w:r>
    </w:p>
    <w:p w:rsidR="002F29ED" w:rsidRDefault="002F29ED" w:rsidP="002F29ED">
      <w:pPr>
        <w:jc w:val="both"/>
      </w:pPr>
      <w:r w:rsidRPr="002F29ED">
        <w:t>The stock market encourages the free economy concept. It is one of the significant financial tools in the hands of the corporate and enterprises to raise their funds through investments done by the common man. In return for investors putting their stake in company stocks, it is expected that they earn profits through dividends and upward stock movements, which would also enhance their economic status apart from the growth of the participant company whose stocks are at stake in the public domain.</w:t>
      </w:r>
    </w:p>
    <w:p w:rsidR="00DA7A6C" w:rsidRPr="002F29ED" w:rsidRDefault="00DA7A6C" w:rsidP="002F29ED">
      <w:pPr>
        <w:jc w:val="both"/>
      </w:pPr>
    </w:p>
    <w:p w:rsidR="002B0F4D" w:rsidRDefault="002B0F4D" w:rsidP="002F29ED">
      <w:pPr>
        <w:pStyle w:val="BodyText"/>
      </w:pPr>
      <w:r w:rsidRPr="002B0F4D">
        <w:t xml:space="preserve">Live validations are still becoming a grim prospect, because of several things like value variations, quiet news, </w:t>
      </w:r>
      <w:r w:rsidRPr="002B0F4D">
        <w:lastRenderedPageBreak/>
        <w:t xml:space="preserve">and existing </w:t>
      </w:r>
      <w:r w:rsidR="00C57CD4" w:rsidRPr="002B0F4D">
        <w:t>noise</w:t>
      </w:r>
      <w:r w:rsidR="002F29ED">
        <w:t xml:space="preserve"> </w:t>
      </w:r>
      <w:r w:rsidR="0078210C">
        <w:fldChar w:fldCharType="begin" w:fldLock="1"/>
      </w:r>
      <w:r w:rsidR="00446539">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[1]","plainTextFormattedCitation":"[1]","previouslyFormattedCitation":"[1]"},"properties":{"noteIndex":0},"schema":"https://github.com/citation-style-language/schema/raw/master/csl-citation.json"}</w:instrText>
      </w:r>
      <w:r w:rsidR="0078210C">
        <w:fldChar w:fldCharType="separate"/>
      </w:r>
      <w:r w:rsidR="00DA7A6C" w:rsidRPr="00DA7A6C">
        <w:rPr>
          <w:noProof/>
        </w:rPr>
        <w:t>[1]</w:t>
      </w:r>
      <w:r w:rsidR="0078210C">
        <w:fldChar w:fldCharType="end"/>
      </w:r>
      <w:r w:rsidR="00922CC9">
        <w:t>.</w:t>
      </w:r>
      <w:r w:rsidR="002F29ED">
        <w:t xml:space="preserve"> </w:t>
      </w:r>
      <w:r w:rsidR="00006DAC">
        <w:t>Several</w:t>
      </w:r>
      <w:r w:rsidR="002F502B">
        <w:t xml:space="preserve"> machine l</w:t>
      </w:r>
      <w:r w:rsidRPr="002B0F4D">
        <w:t>ea</w:t>
      </w:r>
      <w:r w:rsidR="002D205C">
        <w:t xml:space="preserve">rning associated techniques </w:t>
      </w:r>
      <w:r w:rsidR="002D205C" w:rsidRPr="002B0F4D">
        <w:t>are</w:t>
      </w:r>
      <w:r w:rsidRPr="002B0F4D">
        <w:t xml:space="preserve"> developed </w:t>
      </w:r>
      <w:r w:rsidR="002D205C">
        <w:t xml:space="preserve">which </w:t>
      </w:r>
      <w:r w:rsidRPr="002B0F4D">
        <w:t xml:space="preserve">have created the potential to predict the market to an </w:t>
      </w:r>
      <w:r w:rsidR="002F29ED" w:rsidRPr="002B0F4D">
        <w:t>extent</w:t>
      </w:r>
      <w:r w:rsidR="00446539">
        <w:t xml:space="preserve"> </w:t>
      </w:r>
      <w:r w:rsidR="0078210C">
        <w:fldChar w:fldCharType="begin" w:fldLock="1"/>
      </w:r>
      <w:r w:rsidR="00446539">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[2]","plainTextFormattedCitation":"[2]","previouslyFormattedCitation":"[2]"},"properties":{"noteIndex":0},"schema":"https://github.com/citation-style-language/schema/raw/master/csl-citation.json"}</w:instrText>
      </w:r>
      <w:r w:rsidR="0078210C">
        <w:fldChar w:fldCharType="separate"/>
      </w:r>
      <w:r w:rsidR="00446539" w:rsidRPr="00446539">
        <w:rPr>
          <w:noProof/>
        </w:rPr>
        <w:t>[2]</w:t>
      </w:r>
      <w:r w:rsidR="0078210C">
        <w:fldChar w:fldCharType="end"/>
      </w:r>
      <w:r w:rsidRPr="002B0F4D">
        <w:t>.</w:t>
      </w:r>
      <w:r w:rsidR="002F29ED">
        <w:t xml:space="preserve"> </w:t>
      </w:r>
      <w:r w:rsidRPr="002B0F4D">
        <w:t>For the transaction of shares via a broker, there is mostly a fee paid to the broker for each buy and sale</w:t>
      </w:r>
      <w:r>
        <w:t xml:space="preserve"> </w:t>
      </w:r>
      <w:r w:rsidRPr="002B0F4D">
        <w:t>which will almost eat up the gains</w:t>
      </w:r>
      <w:r w:rsidR="00446539">
        <w:t xml:space="preserve"> </w:t>
      </w:r>
      <w:r w:rsidR="0078210C">
        <w:fldChar w:fldCharType="begin" w:fldLock="1"/>
      </w:r>
      <w:r w:rsidR="00446539">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[3]","plainTextFormattedCitation":"[3]","previouslyFormattedCitation":"[3]"},"properties":{"noteIndex":0},"schema":"https://github.com/citation-style-language/schema/raw/master/csl-citation.json"}</w:instrText>
      </w:r>
      <w:r w:rsidR="0078210C">
        <w:fldChar w:fldCharType="separate"/>
      </w:r>
      <w:r w:rsidR="00446539" w:rsidRPr="00446539">
        <w:rPr>
          <w:noProof/>
        </w:rPr>
        <w:t>[3]</w:t>
      </w:r>
      <w:r w:rsidR="0078210C">
        <w:fldChar w:fldCharType="end"/>
      </w:r>
      <w:r w:rsidRPr="002B0F4D">
        <w:t>.</w:t>
      </w:r>
    </w:p>
    <w:p w:rsidR="00850424" w:rsidRPr="00BB4F5B" w:rsidRDefault="00850424" w:rsidP="00BB4F5B">
      <w:pPr>
        <w:pStyle w:val="BodyText"/>
      </w:pPr>
      <w:r w:rsidRPr="00850424">
        <w:t xml:space="preserve">The requirement is </w:t>
      </w:r>
      <w:r w:rsidR="002F502B">
        <w:t>to overcome the ambiguities of f</w:t>
      </w:r>
      <w:r w:rsidRPr="00850424">
        <w:t xml:space="preserve">undamental and technical evaluation, and advanced development in the modelling strategies has pushed several researchers to check new strategies for stock value </w:t>
      </w:r>
      <w:r w:rsidR="00357D56" w:rsidRPr="00850424">
        <w:t xml:space="preserve">forecasting </w:t>
      </w:r>
      <w:r w:rsidR="0078210C">
        <w:fldChar w:fldCharType="begin" w:fldLock="1"/>
      </w:r>
      <w:r w:rsidR="00055497">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[4]","plainTextFormattedCitation":"[4]","previouslyFormattedCitation":"[4]"},"properties":{"noteIndex":0},"schema":"https://github.com/citation-style-language/schema/raw/master/csl-citation.json"}</w:instrText>
      </w:r>
      <w:r w:rsidR="0078210C">
        <w:fldChar w:fldCharType="separate"/>
      </w:r>
      <w:r w:rsidR="00446539" w:rsidRPr="00446539">
        <w:rPr>
          <w:noProof/>
        </w:rPr>
        <w:t>[4]</w:t>
      </w:r>
      <w:r w:rsidR="0078210C">
        <w:fldChar w:fldCharType="end"/>
      </w:r>
      <w:r w:rsidRPr="00850424">
        <w:t>.</w:t>
      </w:r>
    </w:p>
    <w:p w:rsidR="009303D9" w:rsidRPr="00BB4F5B" w:rsidRDefault="00850424" w:rsidP="00E7596C">
      <w:pPr>
        <w:pStyle w:val="BodyText"/>
      </w:pPr>
      <w:r w:rsidRPr="00850424">
        <w:t xml:space="preserve">In the next section, some of the available literature </w:t>
      </w:r>
      <w:r w:rsidR="002F502B">
        <w:t>is</w:t>
      </w:r>
      <w:r w:rsidRPr="00850424">
        <w:t xml:space="preserve"> </w:t>
      </w:r>
      <w:r w:rsidR="00B95D60">
        <w:t xml:space="preserve">scanned which </w:t>
      </w:r>
      <w:r w:rsidRPr="00850424">
        <w:t>throw</w:t>
      </w:r>
      <w:r w:rsidR="00B95D60">
        <w:t>s</w:t>
      </w:r>
      <w:r w:rsidRPr="00850424">
        <w:t xml:space="preserve"> light</w:t>
      </w:r>
      <w:r w:rsidR="00C56F0D">
        <w:t xml:space="preserve"> on various related aspects of machine l</w:t>
      </w:r>
      <w:r w:rsidRPr="00850424">
        <w:t>earning methods and other methodologies, and also study and research o</w:t>
      </w:r>
      <w:r w:rsidR="00B95D60">
        <w:t xml:space="preserve">ther related issues which </w:t>
      </w:r>
      <w:r w:rsidRPr="00850424">
        <w:t>help assist better in direction dete</w:t>
      </w:r>
      <w:r w:rsidR="00C56F0D">
        <w:t xml:space="preserve">ction in </w:t>
      </w:r>
      <w:r w:rsidR="0024145E">
        <w:t xml:space="preserve">the </w:t>
      </w:r>
      <w:r w:rsidR="00C56F0D">
        <w:t>stock m</w:t>
      </w:r>
      <w:r w:rsidRPr="00850424">
        <w:t>arket.</w:t>
      </w:r>
    </w:p>
    <w:p w:rsidR="009303D9" w:rsidRDefault="00936B27" w:rsidP="006B6B66">
      <w:pPr>
        <w:pStyle w:val="Heading1"/>
      </w:pPr>
      <w:r w:rsidRPr="00936B27">
        <w:t xml:space="preserve">LITERATURE REVIEW </w:t>
      </w:r>
    </w:p>
    <w:p w:rsidR="00970546" w:rsidRPr="00970546" w:rsidRDefault="00256F84" w:rsidP="00970546">
      <w:pPr>
        <w:jc w:val="both"/>
      </w:pPr>
      <w:r>
        <w:t xml:space="preserve">Literature review </w:t>
      </w:r>
      <w:r w:rsidR="00970546" w:rsidRPr="00970546">
        <w:t>initially scan</w:t>
      </w:r>
      <w:r>
        <w:t>s</w:t>
      </w:r>
      <w:r w:rsidR="00970546" w:rsidRPr="00970546">
        <w:t xml:space="preserve"> through technical and fundamental analysis of stocks</w:t>
      </w:r>
      <w:r>
        <w:t xml:space="preserve">. Further, </w:t>
      </w:r>
      <w:r w:rsidR="00702CC1">
        <w:t xml:space="preserve">it </w:t>
      </w:r>
      <w:r>
        <w:t>discusses</w:t>
      </w:r>
      <w:r w:rsidR="00123271">
        <w:t xml:space="preserve"> as to how a</w:t>
      </w:r>
      <w:r w:rsidR="00970546" w:rsidRPr="00970546">
        <w:t>lgorithmic trading based on fundamentals and technical indicators helps investors in their decision making. F</w:t>
      </w:r>
      <w:r w:rsidR="00B95D60">
        <w:t>urther</w:t>
      </w:r>
      <w:r w:rsidR="0024145E">
        <w:t>,</w:t>
      </w:r>
      <w:r w:rsidR="00B95D60">
        <w:t xml:space="preserve"> it emphasizes </w:t>
      </w:r>
      <w:r w:rsidR="0024145E">
        <w:t xml:space="preserve">the </w:t>
      </w:r>
      <w:r w:rsidR="00B95D60">
        <w:t>merits of m</w:t>
      </w:r>
      <w:r w:rsidR="00970546" w:rsidRPr="00970546">
        <w:t>achin</w:t>
      </w:r>
      <w:r w:rsidR="00B95D60">
        <w:t>e learning and artificial intelligence</w:t>
      </w:r>
      <w:r w:rsidR="00970546" w:rsidRPr="00970546">
        <w:t xml:space="preserve"> over algorithmic trading. It </w:t>
      </w:r>
      <w:r w:rsidR="00B95D60">
        <w:t>discusses</w:t>
      </w:r>
      <w:r w:rsidR="00970546" w:rsidRPr="00970546">
        <w:t xml:space="preserve"> unsupervised and various supervised classificatio</w:t>
      </w:r>
      <w:r w:rsidR="00970546">
        <w:t>n techniques used in this paper</w:t>
      </w:r>
      <w:r w:rsidR="00970546" w:rsidRPr="00970546">
        <w:t xml:space="preserve">. Later it reviews </w:t>
      </w:r>
      <w:r w:rsidR="0024145E">
        <w:t xml:space="preserve">the </w:t>
      </w:r>
      <w:r w:rsidR="00970546" w:rsidRPr="00970546">
        <w:t xml:space="preserve">literature on confusion matrix discussing various metrics for evaluation of the modelling techniques used for this </w:t>
      </w:r>
      <w:r w:rsidR="002F29ED" w:rsidRPr="002F29ED">
        <w:t>proposed work</w:t>
      </w:r>
      <w:r w:rsidR="00970546" w:rsidRPr="00970546">
        <w:t>.</w:t>
      </w:r>
    </w:p>
    <w:p w:rsidR="006E1CEF" w:rsidRDefault="006704DB" w:rsidP="006704DB">
      <w:pPr>
        <w:pStyle w:val="Heading2"/>
      </w:pPr>
      <w:r>
        <w:t>F</w:t>
      </w:r>
      <w:r w:rsidRPr="00E93B9E">
        <w:t xml:space="preserve">undamental </w:t>
      </w:r>
      <w:r w:rsidR="00A65A51">
        <w:t>and technical a</w:t>
      </w:r>
      <w:r w:rsidRPr="00E93B9E">
        <w:t>nalysis</w:t>
      </w:r>
      <w:r>
        <w:t xml:space="preserve"> </w:t>
      </w:r>
    </w:p>
    <w:p w:rsidR="006704DB" w:rsidRDefault="006704DB" w:rsidP="00123271">
      <w:pPr>
        <w:pStyle w:val="BodyText"/>
      </w:pPr>
      <w:r>
        <w:t>Rajkar et al</w:t>
      </w:r>
      <w:r w:rsidR="001F04AF">
        <w:t>.</w:t>
      </w:r>
      <w:r>
        <w:t xml:space="preserve"> in </w:t>
      </w:r>
      <w:r w:rsidR="0024145E">
        <w:t>their</w:t>
      </w:r>
      <w:r w:rsidRPr="006704DB">
        <w:t xml:space="preserve"> paper comprehensively talk about the numerous parameters impacting value movements in varied sizes and layers in the stock</w:t>
      </w:r>
      <w:r w:rsidR="00BD5802">
        <w:t xml:space="preserve"> market </w:t>
      </w:r>
      <w:r w:rsidR="0078210C">
        <w:fldChar w:fldCharType="begin" w:fldLock="1"/>
      </w:r>
      <w:r w:rsidR="00055497">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[5]","plainTextFormattedCitation":"[5]","previouslyFormattedCitation":"[5]"},"properties":{"noteIndex":0},"schema":"https://github.com/citation-style-language/schema/raw/master/csl-citation.json"}</w:instrText>
      </w:r>
      <w:r w:rsidR="0078210C">
        <w:fldChar w:fldCharType="separate"/>
      </w:r>
      <w:r w:rsidR="00446539" w:rsidRPr="00446539">
        <w:rPr>
          <w:noProof/>
        </w:rPr>
        <w:t>[5]</w:t>
      </w:r>
      <w:r w:rsidR="0078210C">
        <w:fldChar w:fldCharType="end"/>
      </w:r>
      <w:r w:rsidRPr="006704DB">
        <w:t>.</w:t>
      </w:r>
      <w:r w:rsidR="00123271">
        <w:t xml:space="preserve"> Therefore, d</w:t>
      </w:r>
      <w:r>
        <w:t xml:space="preserve">ifferent analysis namely technical and fundamental analysis is being done to </w:t>
      </w:r>
      <w:r w:rsidR="00C914FB">
        <w:t>inves</w:t>
      </w:r>
      <w:r>
        <w:t>t in stock markets.</w:t>
      </w:r>
    </w:p>
    <w:p w:rsidR="006704DB" w:rsidRDefault="00123271" w:rsidP="00123271">
      <w:pPr>
        <w:pStyle w:val="BodyText"/>
      </w:pPr>
      <w:r>
        <w:t>Elbialy in his paper worked on f</w:t>
      </w:r>
      <w:r w:rsidR="006704DB">
        <w:t>undamental analysis and suggest that it helps to identify and implement short positions by selling the shares of companies showing downtrends and then covering these positions by buying back the shares of these companies when they</w:t>
      </w:r>
      <w:r w:rsidR="00BD5802">
        <w:t xml:space="preserve"> start showing upward trends </w:t>
      </w:r>
      <w:r w:rsidR="0078210C">
        <w:fldChar w:fldCharType="begin" w:fldLock="1"/>
      </w:r>
      <w:r w:rsidR="00055497">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[6]","plainTextFormattedCitation":"[6]","previouslyFormattedCitation":"[6]"},"properties":{"noteIndex":0},"schema":"https://github.com/citation-style-language/schema/raw/master/csl-citation.json"}</w:instrText>
      </w:r>
      <w:r w:rsidR="0078210C">
        <w:fldChar w:fldCharType="separate"/>
      </w:r>
      <w:r w:rsidR="00446539" w:rsidRPr="00446539">
        <w:rPr>
          <w:noProof/>
        </w:rPr>
        <w:t>[6]</w:t>
      </w:r>
      <w:r w:rsidR="0078210C">
        <w:fldChar w:fldCharType="end"/>
      </w:r>
      <w:r w:rsidR="006704DB">
        <w:t>.</w:t>
      </w:r>
      <w:r>
        <w:t xml:space="preserve"> </w:t>
      </w:r>
      <w:r w:rsidR="006704DB">
        <w:t>Fundamental analysis helps to identify stock quality and therefore, stock technical analysis done later performs better on the strong fundamental stock.</w:t>
      </w:r>
    </w:p>
    <w:p w:rsidR="006704DB" w:rsidRDefault="00123271" w:rsidP="00123271">
      <w:pPr>
        <w:pStyle w:val="BodyText"/>
      </w:pPr>
      <w:r>
        <w:t>Thanekar and</w:t>
      </w:r>
      <w:r w:rsidR="006704DB">
        <w:t xml:space="preserve"> Shaikh in their paper conclude</w:t>
      </w:r>
      <w:r>
        <w:t xml:space="preserve"> their study that technical a</w:t>
      </w:r>
      <w:r w:rsidR="006704DB">
        <w:t>nalysis can demarcate and recognize commerce openings in the stock market by examining identifiable patterns similar to volume</w:t>
      </w:r>
      <w:r w:rsidR="00BD5802">
        <w:t xml:space="preserve"> and price action movements </w:t>
      </w:r>
      <w:r w:rsidR="0078210C">
        <w:fldChar w:fldCharType="begin" w:fldLock="1"/>
      </w:r>
      <w:r w:rsidR="00055497">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[7]","plainTextFormattedCitation":"[7]","previouslyFormattedCitation":"[7]"},"properties":{"noteIndex":0},"schema":"https://github.com/citation-style-language/schema/raw/master/csl-citation.json"}</w:instrText>
      </w:r>
      <w:r w:rsidR="0078210C">
        <w:fldChar w:fldCharType="separate"/>
      </w:r>
      <w:r w:rsidR="00446539" w:rsidRPr="00446539">
        <w:rPr>
          <w:noProof/>
        </w:rPr>
        <w:t>[7]</w:t>
      </w:r>
      <w:r w:rsidR="0078210C">
        <w:fldChar w:fldCharType="end"/>
      </w:r>
      <w:r w:rsidR="006704DB">
        <w:t>.</w:t>
      </w:r>
      <w:r>
        <w:t xml:space="preserve"> </w:t>
      </w:r>
      <w:r w:rsidR="006704DB" w:rsidRPr="006704DB">
        <w:t>Kimbonguil</w:t>
      </w:r>
      <w:r w:rsidR="00C914FB">
        <w:t>a et al</w:t>
      </w:r>
      <w:r w:rsidR="001366A8">
        <w:t>.</w:t>
      </w:r>
      <w:r w:rsidR="00C914FB">
        <w:t xml:space="preserve"> in their paper used </w:t>
      </w:r>
      <w:r w:rsidR="006704DB" w:rsidRPr="006704DB">
        <w:t xml:space="preserve">many technical indicators like </w:t>
      </w:r>
      <w:r w:rsidR="001F04AF" w:rsidRPr="001F04AF">
        <w:t xml:space="preserve">Moving Average Convergence </w:t>
      </w:r>
      <w:r w:rsidR="001F04AF" w:rsidRPr="001F04AF">
        <w:lastRenderedPageBreak/>
        <w:t>Divergence (MACD)</w:t>
      </w:r>
      <w:r w:rsidR="002239E9">
        <w:t>, m</w:t>
      </w:r>
      <w:r w:rsidR="006704DB" w:rsidRPr="006704DB">
        <w:t>oving average, etc on the past costs to identify bette</w:t>
      </w:r>
      <w:r w:rsidR="001366A8">
        <w:t xml:space="preserve">r stocks for trading purposes </w:t>
      </w:r>
      <w:r w:rsidR="0078210C">
        <w:fldChar w:fldCharType="begin" w:fldLock="1"/>
      </w:r>
      <w:r w:rsidR="00055497">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[8]","plainTextFormattedCitation":"[8]","previouslyFormattedCitation":"[8]"},"properties":{"noteIndex":0},"schema":"https://github.com/citation-style-language/schema/raw/master/csl-citation.json"}</w:instrText>
      </w:r>
      <w:r w:rsidR="0078210C">
        <w:fldChar w:fldCharType="separate"/>
      </w:r>
      <w:r w:rsidR="00446539" w:rsidRPr="00446539">
        <w:rPr>
          <w:noProof/>
        </w:rPr>
        <w:t>[8]</w:t>
      </w:r>
      <w:r w:rsidR="0078210C">
        <w:fldChar w:fldCharType="end"/>
      </w:r>
      <w:r w:rsidR="006704DB" w:rsidRPr="006704DB">
        <w:t>.</w:t>
      </w:r>
    </w:p>
    <w:p w:rsidR="006704DB" w:rsidRDefault="006704DB" w:rsidP="006704DB">
      <w:pPr>
        <w:pStyle w:val="Heading2"/>
      </w:pPr>
      <w:r w:rsidRPr="009B2A02">
        <w:t>Algorithmic trading</w:t>
      </w:r>
    </w:p>
    <w:p w:rsidR="006704DB" w:rsidRDefault="006704DB" w:rsidP="00D44B48">
      <w:pPr>
        <w:pStyle w:val="BodyText"/>
      </w:pPr>
      <w:r>
        <w:t>Taking the discussion further</w:t>
      </w:r>
      <w:r w:rsidR="00B95D60">
        <w:t xml:space="preserve">, Hansen in his paper mentions </w:t>
      </w:r>
      <w:r w:rsidR="00055497">
        <w:t>a</w:t>
      </w:r>
      <w:r>
        <w:t xml:space="preserve">lgorithmic trading which is a systematic method of trading without subjective assessment through a manual trader using computer programs. Hansen further observes that fast algorithms improve traders’ ability to scan the market and seize opportunities most </w:t>
      </w:r>
      <w:r w:rsidR="00055497">
        <w:t xml:space="preserve">appropriately </w:t>
      </w:r>
      <w:r w:rsidR="0078210C">
        <w:fldChar w:fldCharType="begin" w:fldLock="1"/>
      </w:r>
      <w:r w:rsidR="00055497">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[9]","plainTextFormattedCitation":"[9]","previouslyFormattedCitation":"[9]"},"properties":{"noteIndex":0},"schema":"https://github.com/citation-style-language/schema/raw/master/csl-citation.json"}</w:instrText>
      </w:r>
      <w:r w:rsidR="0078210C">
        <w:fldChar w:fldCharType="separate"/>
      </w:r>
      <w:r w:rsidR="00055497" w:rsidRPr="00055497">
        <w:rPr>
          <w:noProof/>
        </w:rPr>
        <w:t>[9]</w:t>
      </w:r>
      <w:r w:rsidR="0078210C">
        <w:fldChar w:fldCharType="end"/>
      </w:r>
      <w:r>
        <w:t>.</w:t>
      </w:r>
      <w:r w:rsidR="00D44B48">
        <w:t xml:space="preserve"> </w:t>
      </w:r>
      <w:r>
        <w:t>Mukerji et al</w:t>
      </w:r>
      <w:r w:rsidR="006F544C">
        <w:t>.</w:t>
      </w:r>
      <w:r>
        <w:t xml:space="preserve"> in </w:t>
      </w:r>
      <w:r w:rsidR="00C914FB">
        <w:t>the</w:t>
      </w:r>
      <w:r>
        <w:t xml:space="preserve"> paper caution that though algorithmic trading give</w:t>
      </w:r>
      <w:r w:rsidR="00C914FB">
        <w:t>s</w:t>
      </w:r>
      <w:r>
        <w:t xml:space="preserve"> better results </w:t>
      </w:r>
      <w:r w:rsidR="00C914FB">
        <w:t>than</w:t>
      </w:r>
      <w:r>
        <w:t xml:space="preserve"> manual trading, regulators have restrained algorithmic trading following accusations of market </w:t>
      </w:r>
      <w:r w:rsidR="00B8375B">
        <w:t>manipulati</w:t>
      </w:r>
      <w:r w:rsidR="00055497">
        <w:t xml:space="preserve">ons </w:t>
      </w:r>
      <w:r w:rsidR="0078210C">
        <w:fldChar w:fldCharType="begin" w:fldLock="1"/>
      </w:r>
      <w:r w:rsidR="00A4511B">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[10]","plainTextFormattedCitation":"[10]","previouslyFormattedCitation":"[10]"},"properties":{"noteIndex":0},"schema":"https://github.com/citation-style-language/schema/raw/master/csl-citation.json"}</w:instrText>
      </w:r>
      <w:r w:rsidR="0078210C">
        <w:fldChar w:fldCharType="separate"/>
      </w:r>
      <w:r w:rsidR="00055497" w:rsidRPr="00055497">
        <w:rPr>
          <w:noProof/>
        </w:rPr>
        <w:t>[10]</w:t>
      </w:r>
      <w:r w:rsidR="0078210C">
        <w:fldChar w:fldCharType="end"/>
      </w:r>
      <w:r>
        <w:t>.</w:t>
      </w:r>
    </w:p>
    <w:p w:rsidR="00B8375B" w:rsidRDefault="00B8375B" w:rsidP="00B8375B">
      <w:pPr>
        <w:pStyle w:val="Heading2"/>
      </w:pPr>
      <w:r>
        <w:t>S</w:t>
      </w:r>
      <w:r w:rsidRPr="00EC6C9D">
        <w:t xml:space="preserve">upervised and </w:t>
      </w:r>
      <w:r w:rsidR="00D717F8">
        <w:t>u</w:t>
      </w:r>
      <w:r w:rsidRPr="00EC6C9D">
        <w:t>nsupervised</w:t>
      </w:r>
      <w:r w:rsidR="00D717F8">
        <w:t xml:space="preserve"> </w:t>
      </w:r>
      <w:r w:rsidR="0024145E">
        <w:t>learning</w:t>
      </w:r>
    </w:p>
    <w:p w:rsidR="00A4511B" w:rsidRDefault="00B8375B" w:rsidP="00A4511B">
      <w:pPr>
        <w:ind w:firstLine="288"/>
        <w:jc w:val="both"/>
      </w:pPr>
      <w:r w:rsidRPr="00B8375B">
        <w:t xml:space="preserve">This paper introduces a new stock market prediction model that includes three major phases namely feature </w:t>
      </w:r>
      <w:r w:rsidR="006420A7" w:rsidRPr="00B8375B">
        <w:t>engineering</w:t>
      </w:r>
      <w:r w:rsidR="00A85CDE">
        <w:t xml:space="preserve">, non </w:t>
      </w:r>
      <w:r w:rsidRPr="00B8375B">
        <w:t>correlated feature selections, and finally direction detection.</w:t>
      </w:r>
    </w:p>
    <w:p w:rsidR="00A4511B" w:rsidRDefault="00F97AD2" w:rsidP="00A4511B">
      <w:pPr>
        <w:ind w:firstLine="288"/>
        <w:jc w:val="both"/>
      </w:pPr>
      <w:r w:rsidRPr="00F97AD2">
        <w:t>Omta et al</w:t>
      </w:r>
      <w:r w:rsidR="00A4511B">
        <w:t>.</w:t>
      </w:r>
      <w:r w:rsidRPr="00F97AD2">
        <w:t xml:space="preserve"> in </w:t>
      </w:r>
      <w:r w:rsidR="0024145E">
        <w:t>their</w:t>
      </w:r>
      <w:r w:rsidRPr="00F97AD2">
        <w:t xml:space="preserve"> pap</w:t>
      </w:r>
      <w:r w:rsidR="002239E9">
        <w:t>er used m</w:t>
      </w:r>
      <w:r w:rsidRPr="00F97AD2">
        <w:t xml:space="preserve">achine learning and </w:t>
      </w:r>
      <w:r w:rsidR="002239E9">
        <w:t>artificial intelligence</w:t>
      </w:r>
      <w:r w:rsidRPr="00F97AD2">
        <w:t xml:space="preserve"> for the analysis of image-based cellular screens. </w:t>
      </w:r>
      <w:r w:rsidR="00E0432F" w:rsidRPr="00F97AD2">
        <w:t>It</w:t>
      </w:r>
      <w:r w:rsidRPr="00F97AD2">
        <w:t xml:space="preserve"> is suggested in the paper that exploratory data analysis should be performed as an initial step to gain a better data understanding </w:t>
      </w:r>
      <w:r w:rsidR="00C914FB">
        <w:t>before</w:t>
      </w:r>
      <w:r w:rsidR="002239E9">
        <w:t xml:space="preserve"> executing m</w:t>
      </w:r>
      <w:r w:rsidRPr="00F97AD2">
        <w:t>achine learning algorithms. Machine learning can again be further categorized into superv</w:t>
      </w:r>
      <w:r w:rsidR="00A4511B">
        <w:t xml:space="preserve">ised and unsupervised learning </w:t>
      </w:r>
      <w:r w:rsidR="0078210C">
        <w:fldChar w:fldCharType="begin" w:fldLock="1"/>
      </w:r>
      <w:r w:rsidR="00A4511B">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[11]","plainTextFormattedCitation":"[11]","previouslyFormattedCitation":"[11]"},"properties":{"noteIndex":0},"schema":"https://github.com/citation-style-language/schema/raw/master/csl-citation.json"}</w:instrText>
      </w:r>
      <w:r w:rsidR="0078210C">
        <w:fldChar w:fldCharType="separate"/>
      </w:r>
      <w:r w:rsidR="00A4511B" w:rsidRPr="00A4511B">
        <w:rPr>
          <w:noProof/>
        </w:rPr>
        <w:t>[11]</w:t>
      </w:r>
      <w:r w:rsidR="0078210C">
        <w:fldChar w:fldCharType="end"/>
      </w:r>
      <w:r w:rsidRPr="00F97AD2">
        <w:t>.</w:t>
      </w:r>
    </w:p>
    <w:p w:rsidR="00F97AD2" w:rsidRDefault="00F97AD2" w:rsidP="00D717F8">
      <w:pPr>
        <w:ind w:firstLine="288"/>
        <w:jc w:val="both"/>
      </w:pPr>
      <w:r>
        <w:t>Alhomadi findings in his paper w</w:t>
      </w:r>
      <w:r w:rsidR="00C914FB">
        <w:t>ere</w:t>
      </w:r>
      <w:r>
        <w:t xml:space="preserve"> that </w:t>
      </w:r>
      <w:r w:rsidR="00E0432F">
        <w:t>some</w:t>
      </w:r>
      <w:r>
        <w:t xml:space="preserve"> literature has used both supervised and unsupervised machine learning techniques for securities market predictive modelling and located that both kinds of models will create predictions with satisfactory </w:t>
      </w:r>
      <w:r w:rsidR="00A4511B">
        <w:t xml:space="preserve">accuracy </w:t>
      </w:r>
      <w:r w:rsidR="0078210C">
        <w:fldChar w:fldCharType="begin" w:fldLock="1"/>
      </w:r>
      <w:r w:rsidR="00A4511B">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[12]","plainTextFormattedCitation":"[12]","previouslyFormattedCitation":"[12]"},"properties":{"noteIndex":0},"schema":"https://github.com/citation-style-language/schema/raw/master/csl-citation.json"}</w:instrText>
      </w:r>
      <w:r w:rsidR="0078210C">
        <w:fldChar w:fldCharType="separate"/>
      </w:r>
      <w:r w:rsidR="00A4511B" w:rsidRPr="00A4511B">
        <w:rPr>
          <w:noProof/>
        </w:rPr>
        <w:t>[12]</w:t>
      </w:r>
      <w:r w:rsidR="0078210C">
        <w:fldChar w:fldCharType="end"/>
      </w:r>
      <w:r>
        <w:t>.</w:t>
      </w:r>
      <w:r w:rsidR="00D717F8">
        <w:t xml:space="preserve"> </w:t>
      </w:r>
      <w:r>
        <w:t xml:space="preserve">Dar researched further on unsupervised machine learning techniques by deeply studying principal component analysis and suggested that the central plan of </w:t>
      </w:r>
      <w:r w:rsidR="00A4511B">
        <w:t>principal component a</w:t>
      </w:r>
      <w:r w:rsidR="00A4511B" w:rsidRPr="00A4511B">
        <w:t>nalysis</w:t>
      </w:r>
      <w:r>
        <w:t xml:space="preserve"> is to spot correlations and patterns in a dataset with high dimensionality and scale back it to a considerably lower dimension witho</w:t>
      </w:r>
      <w:r w:rsidR="00A4511B">
        <w:t xml:space="preserve">ut losing any important info </w:t>
      </w:r>
      <w:r w:rsidR="0078210C">
        <w:fldChar w:fldCharType="begin" w:fldLock="1"/>
      </w:r>
      <w:r w:rsidR="00B64644">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[13]","plainTextFormattedCitation":"[13]","previouslyFormattedCitation":"[13]"},"properties":{"noteIndex":0},"schema":"https://github.com/citation-style-language/schema/raw/master/csl-citation.json"}</w:instrText>
      </w:r>
      <w:r w:rsidR="0078210C">
        <w:fldChar w:fldCharType="separate"/>
      </w:r>
      <w:r w:rsidR="00A4511B" w:rsidRPr="00A4511B">
        <w:rPr>
          <w:noProof/>
        </w:rPr>
        <w:t>[13]</w:t>
      </w:r>
      <w:r w:rsidR="0078210C">
        <w:fldChar w:fldCharType="end"/>
      </w:r>
      <w:r>
        <w:t>.</w:t>
      </w:r>
    </w:p>
    <w:p w:rsidR="00F97AD2" w:rsidRDefault="00F97AD2" w:rsidP="00F97AD2">
      <w:pPr>
        <w:ind w:firstLine="288"/>
        <w:jc w:val="both"/>
      </w:pPr>
      <w:r>
        <w:t>further, various supervised classification machine learning techniques ha</w:t>
      </w:r>
      <w:r w:rsidR="00C914FB">
        <w:t>ve</w:t>
      </w:r>
      <w:r>
        <w:t xml:space="preserve"> </w:t>
      </w:r>
      <w:r w:rsidR="00A4511B">
        <w:t>been used in this paper namely</w:t>
      </w:r>
      <w:r w:rsidR="00D717F8">
        <w:t xml:space="preserve"> logistic regression, decision tree, random forest, k</w:t>
      </w:r>
      <w:r w:rsidR="00A4511B">
        <w:t xml:space="preserve"> nearest n</w:t>
      </w:r>
      <w:r>
        <w:t>eighbours</w:t>
      </w:r>
      <w:r w:rsidR="00C914FB">
        <w:t>,</w:t>
      </w:r>
      <w:r w:rsidR="00A4511B">
        <w:t xml:space="preserve"> and extreme gradient b</w:t>
      </w:r>
      <w:r>
        <w:t>oosting.</w:t>
      </w:r>
    </w:p>
    <w:p w:rsidR="00F97AD2" w:rsidRDefault="00F97AD2" w:rsidP="00F97AD2">
      <w:pPr>
        <w:pStyle w:val="Heading2"/>
      </w:pPr>
      <w:r>
        <w:t>C</w:t>
      </w:r>
      <w:r w:rsidRPr="00F97AD2">
        <w:t>lassification machine learning techniques</w:t>
      </w:r>
    </w:p>
    <w:p w:rsidR="008513B7" w:rsidRDefault="00BD448D" w:rsidP="00B64644">
      <w:pPr>
        <w:ind w:firstLine="288"/>
        <w:jc w:val="both"/>
      </w:pPr>
      <w:r>
        <w:t>Al-Bairmani and</w:t>
      </w:r>
      <w:r w:rsidR="008513B7" w:rsidRPr="008513B7">
        <w:t xml:space="preserve"> Isma</w:t>
      </w:r>
      <w:r>
        <w:t>el worked further on exploring logistic r</w:t>
      </w:r>
      <w:r w:rsidR="008513B7" w:rsidRPr="008513B7">
        <w:t xml:space="preserve">egression and infers that </w:t>
      </w:r>
      <w:r>
        <w:t>logistic r</w:t>
      </w:r>
      <w:r w:rsidR="008513B7" w:rsidRPr="008513B7">
        <w:t>egression is used instead of linear regression in situations where the target variable is not numeric, but a no</w:t>
      </w:r>
      <w:r w:rsidR="00B64644">
        <w:t xml:space="preserve">minal or an ordinal variable </w:t>
      </w:r>
      <w:r w:rsidR="0078210C">
        <w:fldChar w:fldCharType="begin" w:fldLock="1"/>
      </w:r>
      <w:r w:rsidR="00B64644">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[14]","plainTextFormattedCitation":"[14]","previouslyFormattedCitation":"[14]"},"properties":{"noteIndex":0},"schema":"https://github.com/citation-style-language/schema/raw/master/csl-citation.json"}</w:instrText>
      </w:r>
      <w:r w:rsidR="0078210C">
        <w:fldChar w:fldCharType="separate"/>
      </w:r>
      <w:r w:rsidR="00B64644" w:rsidRPr="00B64644">
        <w:rPr>
          <w:noProof/>
        </w:rPr>
        <w:t>[14]</w:t>
      </w:r>
      <w:r w:rsidR="0078210C">
        <w:fldChar w:fldCharType="end"/>
      </w:r>
      <w:r w:rsidR="008513B7" w:rsidRPr="008513B7">
        <w:t>.</w:t>
      </w:r>
      <w:r w:rsidR="00B64644">
        <w:t xml:space="preserve"> </w:t>
      </w:r>
      <w:r w:rsidR="002239E9">
        <w:t>Jena and</w:t>
      </w:r>
      <w:r w:rsidR="00E84295">
        <w:t xml:space="preserve"> Dehuri suggest </w:t>
      </w:r>
      <w:r w:rsidR="00B64644">
        <w:t>that the simple l</w:t>
      </w:r>
      <w:r w:rsidR="008513B7" w:rsidRPr="008513B7">
        <w:t>inear modelling algorithms become more complex as the size of the datasets increases which is being handled usi</w:t>
      </w:r>
      <w:r w:rsidR="00B64644">
        <w:t xml:space="preserve">ng more advanced algorithms in </w:t>
      </w:r>
      <w:r w:rsidR="0024145E">
        <w:t xml:space="preserve">the </w:t>
      </w:r>
      <w:r w:rsidR="00B64644">
        <w:t>decision t</w:t>
      </w:r>
      <w:r w:rsidR="008513B7" w:rsidRPr="008513B7">
        <w:t>ree for classifi</w:t>
      </w:r>
      <w:r w:rsidR="008513B7">
        <w:t>c</w:t>
      </w:r>
      <w:r w:rsidR="00B64644">
        <w:t xml:space="preserve">ation and regression problems </w:t>
      </w:r>
      <w:r w:rsidR="0078210C">
        <w:fldChar w:fldCharType="begin" w:fldLock="1"/>
      </w:r>
      <w:r w:rsidR="00B64644">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[15]","plainTextFormattedCitation":"[15]","previouslyFormattedCitation":"[15]"},"properties":{"noteIndex":0},"schema":"https://github.com/citation-style-language/schema/raw/master/csl-citation.json"}</w:instrText>
      </w:r>
      <w:r w:rsidR="0078210C">
        <w:fldChar w:fldCharType="separate"/>
      </w:r>
      <w:r w:rsidR="00B64644" w:rsidRPr="00B64644">
        <w:rPr>
          <w:noProof/>
        </w:rPr>
        <w:t>[15]</w:t>
      </w:r>
      <w:r w:rsidR="0078210C">
        <w:fldChar w:fldCharType="end"/>
      </w:r>
      <w:r w:rsidR="008513B7" w:rsidRPr="008513B7">
        <w:t>.</w:t>
      </w:r>
      <w:r w:rsidR="00B64644">
        <w:t xml:space="preserve"> Schonlau and</w:t>
      </w:r>
      <w:r w:rsidR="008513B7" w:rsidRPr="008513B7">
        <w:t xml:space="preserve"> Zou </w:t>
      </w:r>
      <w:r w:rsidR="00E84295">
        <w:t>infer that random f</w:t>
      </w:r>
      <w:r w:rsidR="008513B7" w:rsidRPr="008513B7">
        <w:t>orest modelling is quite</w:t>
      </w:r>
      <w:r w:rsidR="00256F84">
        <w:t xml:space="preserve"> </w:t>
      </w:r>
      <w:r w:rsidR="008513B7" w:rsidRPr="008513B7">
        <w:t>flexible to non-linearity in the dataset and is the most appropriate ensemble learning algorithm for medium-sized</w:t>
      </w:r>
      <w:r w:rsidR="008513B7">
        <w:t xml:space="preserve"> </w:t>
      </w:r>
      <w:r w:rsidR="00B64644">
        <w:t xml:space="preserve">to very large-sized datasets </w:t>
      </w:r>
      <w:r w:rsidR="0078210C">
        <w:fldChar w:fldCharType="begin" w:fldLock="1"/>
      </w:r>
      <w:r w:rsidR="00B64644">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[16]","plainTextFormattedCitation":"[16]","previouslyFormattedCitation":"[16]"},"properties":{"noteIndex":0},"schema":"https://github.com/citation-style-language/schema/raw/master/csl-citation.json"}</w:instrText>
      </w:r>
      <w:r w:rsidR="0078210C">
        <w:fldChar w:fldCharType="separate"/>
      </w:r>
      <w:r w:rsidR="00B64644" w:rsidRPr="00B64644">
        <w:rPr>
          <w:noProof/>
        </w:rPr>
        <w:t>[16]</w:t>
      </w:r>
      <w:r w:rsidR="0078210C">
        <w:fldChar w:fldCharType="end"/>
      </w:r>
      <w:r w:rsidR="008513B7" w:rsidRPr="008513B7">
        <w:t>.</w:t>
      </w:r>
      <w:r w:rsidR="0024145E">
        <w:t xml:space="preserve"> </w:t>
      </w:r>
      <w:r w:rsidR="00B64644">
        <w:t>Wang studied k nearest n</w:t>
      </w:r>
      <w:r w:rsidR="008513B7">
        <w:t>eighbours and informs that it is the most popular statistical technique utilized in pattern identification over the last four de</w:t>
      </w:r>
      <w:r w:rsidR="00B64644">
        <w:t xml:space="preserve">cades </w:t>
      </w:r>
      <w:r w:rsidR="0078210C">
        <w:fldChar w:fldCharType="begin" w:fldLock="1"/>
      </w:r>
      <w:r w:rsidR="00B64644">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[17]","plainTextFormattedCitation":"[17]","previouslyFormattedCitation":"[17]"},"properties":{"noteIndex":0},"schema":"https://github.com/citation-style-language/schema/raw/master/csl-citation.json"}</w:instrText>
      </w:r>
      <w:r w:rsidR="0078210C">
        <w:fldChar w:fldCharType="separate"/>
      </w:r>
      <w:r w:rsidR="00B64644" w:rsidRPr="00B64644">
        <w:rPr>
          <w:noProof/>
        </w:rPr>
        <w:t>[17]</w:t>
      </w:r>
      <w:r w:rsidR="0078210C">
        <w:fldChar w:fldCharType="end"/>
      </w:r>
      <w:r w:rsidR="008513B7">
        <w:t>.</w:t>
      </w:r>
      <w:r w:rsidR="00B64644">
        <w:t xml:space="preserve"> </w:t>
      </w:r>
      <w:r w:rsidR="008513B7">
        <w:t>Zhang et al</w:t>
      </w:r>
      <w:r w:rsidR="00B64644">
        <w:t>. researched on extreme g</w:t>
      </w:r>
      <w:r w:rsidR="00B64644" w:rsidRPr="00B64644">
        <w:t xml:space="preserve">radient </w:t>
      </w:r>
      <w:r w:rsidR="00B64644">
        <w:t>b</w:t>
      </w:r>
      <w:r w:rsidR="00E84295">
        <w:t>oost which according to him is</w:t>
      </w:r>
      <w:r w:rsidR="008513B7">
        <w:t xml:space="preserve"> extensively recognized as an extremely useful ensemble learning algorithm. However, its performance </w:t>
      </w:r>
      <w:r w:rsidR="008513B7">
        <w:lastRenderedPageBreak/>
        <w:t xml:space="preserve">needs more improvements ideally in scenarios where the </w:t>
      </w:r>
      <w:r w:rsidR="00B64644">
        <w:t xml:space="preserve">dataset is imbalanced </w:t>
      </w:r>
      <w:r w:rsidR="0078210C">
        <w:fldChar w:fldCharType="begin" w:fldLock="1"/>
      </w:r>
      <w:r w:rsidR="00B64644">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[18]","plainTextFormattedCitation":"[18]","previouslyFormattedCitation":"[18]"},"properties":{"noteIndex":0},"schema":"https://github.com/citation-style-language/schema/raw/master/csl-citation.json"}</w:instrText>
      </w:r>
      <w:r w:rsidR="0078210C">
        <w:fldChar w:fldCharType="separate"/>
      </w:r>
      <w:r w:rsidR="00B64644" w:rsidRPr="00B64644">
        <w:rPr>
          <w:noProof/>
        </w:rPr>
        <w:t>[18]</w:t>
      </w:r>
      <w:r w:rsidR="0078210C">
        <w:fldChar w:fldCharType="end"/>
      </w:r>
      <w:r w:rsidR="008513B7">
        <w:t>.</w:t>
      </w:r>
    </w:p>
    <w:p w:rsidR="008513B7" w:rsidRDefault="008513B7" w:rsidP="008513B7">
      <w:pPr>
        <w:pStyle w:val="Heading2"/>
      </w:pPr>
      <w:r>
        <w:t>c</w:t>
      </w:r>
      <w:r w:rsidR="002239E9">
        <w:t>onfusion matrix for classification m</w:t>
      </w:r>
      <w:r>
        <w:t>odels</w:t>
      </w:r>
    </w:p>
    <w:p w:rsidR="006704DB" w:rsidRDefault="008513B7" w:rsidP="0066132A">
      <w:pPr>
        <w:ind w:firstLine="288"/>
        <w:jc w:val="both"/>
      </w:pPr>
      <w:r>
        <w:t>Various classification algorithms as discussed have to be built for the data. Subsequently</w:t>
      </w:r>
      <w:r w:rsidR="00C914FB">
        <w:t>,</w:t>
      </w:r>
      <w:r>
        <w:t xml:space="preserve"> all these algorithms have to be tested. </w:t>
      </w:r>
      <w:r w:rsidR="0024145E">
        <w:t>The c</w:t>
      </w:r>
      <w:r>
        <w:t>onfusion matrix for classification mod</w:t>
      </w:r>
      <w:r w:rsidR="0066132A">
        <w:t xml:space="preserve">els is a step in that direction. </w:t>
      </w:r>
      <w:r>
        <w:t xml:space="preserve">Markoulidakis et al. in </w:t>
      </w:r>
      <w:r w:rsidR="0024145E">
        <w:t>their</w:t>
      </w:r>
      <w:r>
        <w:t xml:space="preserve"> paper evaluate numerous performance metrics which include ac</w:t>
      </w:r>
      <w:r w:rsidR="00B64644">
        <w:t xml:space="preserve">curacy, precision, and recall  </w:t>
      </w:r>
      <w:r w:rsidR="0078210C">
        <w:fldChar w:fldCharType="begin" w:fldLock="1"/>
      </w:r>
      <w:r w:rsidR="006F6B23">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[19]","plainTextFormattedCitation":"[19]","previouslyFormattedCitation":"[19]"},"properties":{"noteIndex":0},"schema":"https://github.com/citation-style-language/schema/raw/master/csl-citation.json"}</w:instrText>
      </w:r>
      <w:r w:rsidR="0078210C">
        <w:fldChar w:fldCharType="separate"/>
      </w:r>
      <w:r w:rsidR="00B64644" w:rsidRPr="00B64644">
        <w:rPr>
          <w:noProof/>
        </w:rPr>
        <w:t>[19]</w:t>
      </w:r>
      <w:r w:rsidR="0078210C">
        <w:fldChar w:fldCharType="end"/>
      </w:r>
      <w:r>
        <w:t>.</w:t>
      </w:r>
    </w:p>
    <w:p w:rsidR="009303D9" w:rsidRDefault="002F20C7" w:rsidP="006B6B66">
      <w:pPr>
        <w:pStyle w:val="Heading1"/>
      </w:pPr>
      <w:r w:rsidRPr="002F20C7">
        <w:t>METHODOLOGY</w:t>
      </w:r>
    </w:p>
    <w:p w:rsidR="002023D0" w:rsidRDefault="00B95D60" w:rsidP="002023D0">
      <w:pPr>
        <w:pStyle w:val="BodyText"/>
      </w:pPr>
      <w:r>
        <w:t>Initially f</w:t>
      </w:r>
      <w:r w:rsidR="002023D0" w:rsidRPr="002023D0">
        <w:t>unda</w:t>
      </w:r>
      <w:r>
        <w:t>mental and t</w:t>
      </w:r>
      <w:r w:rsidR="002023D0" w:rsidRPr="002023D0">
        <w:t xml:space="preserve">echnical analysis of </w:t>
      </w:r>
      <w:r w:rsidR="0024145E">
        <w:t xml:space="preserve">the </w:t>
      </w:r>
      <w:r w:rsidR="002023D0" w:rsidRPr="002023D0">
        <w:t xml:space="preserve">stocks under consideration is performed to demonstrate why a particular stock dataset has been used for this </w:t>
      </w:r>
      <w:r w:rsidR="002F29ED" w:rsidRPr="002F29ED">
        <w:t>proposed work</w:t>
      </w:r>
      <w:r w:rsidR="002F29ED">
        <w:t>.</w:t>
      </w:r>
      <w:r w:rsidR="002023D0" w:rsidRPr="002023D0">
        <w:t xml:space="preserve"> The </w:t>
      </w:r>
      <w:r w:rsidR="0029137C" w:rsidRPr="0029137C">
        <w:t xml:space="preserve">Cross-Industry Standard Process for Data Mining (CRISP-DM) </w:t>
      </w:r>
      <w:r w:rsidR="002023D0" w:rsidRPr="002023D0">
        <w:t>framework h</w:t>
      </w:r>
      <w:r w:rsidR="00C6220B">
        <w:t>as been used in this paper. In d</w:t>
      </w:r>
      <w:r w:rsidR="002023D0" w:rsidRPr="002023D0">
        <w:t>ata understanding</w:t>
      </w:r>
      <w:r w:rsidR="0024145E">
        <w:t>,</w:t>
      </w:r>
      <w:r w:rsidR="002023D0" w:rsidRPr="002023D0">
        <w:t xml:space="preserve"> the different feature variables used for the </w:t>
      </w:r>
      <w:r w:rsidR="002F29ED" w:rsidRPr="002F29ED">
        <w:t>proposed work</w:t>
      </w:r>
      <w:r w:rsidR="002023D0" w:rsidRPr="002023D0">
        <w:t xml:space="preserve"> </w:t>
      </w:r>
      <w:r w:rsidR="00C914FB">
        <w:t>are</w:t>
      </w:r>
      <w:r w:rsidR="00C6220B">
        <w:t xml:space="preserve"> being studied and their u</w:t>
      </w:r>
      <w:r w:rsidR="002023D0" w:rsidRPr="002023D0">
        <w:t xml:space="preserve">nivariate analysis is performed. Based on </w:t>
      </w:r>
      <w:r w:rsidR="00C914FB">
        <w:t xml:space="preserve">the </w:t>
      </w:r>
      <w:r w:rsidR="00256F84">
        <w:t>d</w:t>
      </w:r>
      <w:r w:rsidR="002023D0" w:rsidRPr="002023D0">
        <w:t xml:space="preserve">ata understanding phase, various steps are being taken in </w:t>
      </w:r>
      <w:r w:rsidR="00C914FB">
        <w:t xml:space="preserve">the </w:t>
      </w:r>
      <w:r w:rsidR="00256F84">
        <w:t>d</w:t>
      </w:r>
      <w:r w:rsidR="002023D0" w:rsidRPr="002023D0">
        <w:t xml:space="preserve">ata preparation phase namely </w:t>
      </w:r>
      <w:r w:rsidR="00256F84">
        <w:t>handling m</w:t>
      </w:r>
      <w:r w:rsidR="002023D0" w:rsidRPr="002023D0">
        <w:t xml:space="preserve">issing values, </w:t>
      </w:r>
      <w:r w:rsidR="00256F84">
        <w:t>features addition, and data s</w:t>
      </w:r>
      <w:r w:rsidR="00C6220B">
        <w:t xml:space="preserve">caling using </w:t>
      </w:r>
      <w:r w:rsidR="0024145E">
        <w:t xml:space="preserve">the </w:t>
      </w:r>
      <w:r w:rsidR="00C6220B">
        <w:t>Minmax s</w:t>
      </w:r>
      <w:r w:rsidR="002023D0" w:rsidRPr="002023D0">
        <w:t>caler. Once the data has been prepared, different modelling algorithms are implemented on them namel</w:t>
      </w:r>
      <w:r w:rsidR="00256F84">
        <w:t xml:space="preserve">y logistic regression, decision tree, random forest, k nearest </w:t>
      </w:r>
      <w:r w:rsidR="00E84295">
        <w:t>n</w:t>
      </w:r>
      <w:r w:rsidR="00E84295" w:rsidRPr="002023D0">
        <w:t>eighbo</w:t>
      </w:r>
      <w:r w:rsidR="00E84295">
        <w:t>u</w:t>
      </w:r>
      <w:r w:rsidR="00E84295" w:rsidRPr="002023D0">
        <w:t>r</w:t>
      </w:r>
      <w:r w:rsidR="00E84295">
        <w:t xml:space="preserve">, and </w:t>
      </w:r>
      <w:r w:rsidR="00C6220B">
        <w:t>extreme g</w:t>
      </w:r>
      <w:r w:rsidR="00C6220B" w:rsidRPr="00C6220B">
        <w:t>radient</w:t>
      </w:r>
      <w:r w:rsidR="00C6220B">
        <w:t xml:space="preserve"> b</w:t>
      </w:r>
      <w:r w:rsidR="00E84295">
        <w:t>oost c</w:t>
      </w:r>
      <w:r w:rsidR="002023D0" w:rsidRPr="002023D0">
        <w:t>lassifier</w:t>
      </w:r>
      <w:r w:rsidR="00E84295">
        <w:t>s</w:t>
      </w:r>
      <w:r w:rsidR="002023D0" w:rsidRPr="002023D0">
        <w:t>. The data evaluation phase further exa</w:t>
      </w:r>
      <w:r w:rsidR="00E84295">
        <w:t>mines the results of different m</w:t>
      </w:r>
      <w:r w:rsidR="002023D0" w:rsidRPr="002023D0">
        <w:t>odelling tec</w:t>
      </w:r>
      <w:r w:rsidR="00E84295">
        <w:t>hniqu</w:t>
      </w:r>
      <w:r w:rsidR="00C6220B">
        <w:t>es which were used in the data m</w:t>
      </w:r>
      <w:r w:rsidR="00E84295">
        <w:t>odelling phase. D</w:t>
      </w:r>
      <w:r w:rsidR="002023D0" w:rsidRPr="002023D0">
        <w:t>eployment speaks about developing a fr</w:t>
      </w:r>
      <w:r w:rsidR="00C6220B">
        <w:t xml:space="preserve">ont </w:t>
      </w:r>
      <w:r w:rsidR="00E84295">
        <w:t xml:space="preserve">end </w:t>
      </w:r>
      <w:r w:rsidR="006B6C2E">
        <w:t>Application P</w:t>
      </w:r>
      <w:r w:rsidR="00C6220B">
        <w:t xml:space="preserve">rogramming </w:t>
      </w:r>
      <w:r w:rsidR="006B6C2E">
        <w:t>I</w:t>
      </w:r>
      <w:r w:rsidR="00C6220B" w:rsidRPr="008E2414">
        <w:t>nterface</w:t>
      </w:r>
      <w:r w:rsidR="00C6220B">
        <w:t xml:space="preserve"> (</w:t>
      </w:r>
      <w:r w:rsidR="00E84295">
        <w:t>API</w:t>
      </w:r>
      <w:r w:rsidR="00C6220B">
        <w:t>)</w:t>
      </w:r>
      <w:r w:rsidR="00E84295">
        <w:t xml:space="preserve"> for the deployment d</w:t>
      </w:r>
      <w:r w:rsidR="002023D0" w:rsidRPr="002023D0">
        <w:t>ashboard.</w:t>
      </w:r>
    </w:p>
    <w:p w:rsidR="00433EAB" w:rsidRDefault="00433EAB" w:rsidP="00433EAB">
      <w:pPr>
        <w:pStyle w:val="Heading2"/>
      </w:pPr>
      <w:r w:rsidRPr="00F800BF">
        <w:t xml:space="preserve">Data </w:t>
      </w:r>
      <w:r w:rsidR="00C6220B">
        <w:t>C</w:t>
      </w:r>
      <w:r w:rsidRPr="00F800BF">
        <w:t>ollection</w:t>
      </w:r>
    </w:p>
    <w:p w:rsidR="00C6220B" w:rsidRDefault="00E84295" w:rsidP="00C6220B">
      <w:pPr>
        <w:pStyle w:val="BodyText"/>
      </w:pPr>
      <w:r>
        <w:t>Daily t</w:t>
      </w:r>
      <w:r w:rsidR="00C6220B">
        <w:t>rading data of HDFC, KOTAK, and SBI b</w:t>
      </w:r>
      <w:r w:rsidR="00E560AE" w:rsidRPr="00C6495E">
        <w:t>ank</w:t>
      </w:r>
      <w:r w:rsidR="0024145E">
        <w:t>s</w:t>
      </w:r>
      <w:r w:rsidR="00E560AE" w:rsidRPr="00C6495E">
        <w:t xml:space="preserve"> from the year 2000 to 2022 are being used for this study. This study uses </w:t>
      </w:r>
      <w:r w:rsidR="006B6C2E">
        <w:t>National S</w:t>
      </w:r>
      <w:r w:rsidR="00C6220B" w:rsidRPr="00C6220B">
        <w:t>t</w:t>
      </w:r>
      <w:r w:rsidR="006B6C2E">
        <w:t>ock E</w:t>
      </w:r>
      <w:r w:rsidR="00C6220B" w:rsidRPr="00C6220B">
        <w:t>xchange</w:t>
      </w:r>
      <w:r w:rsidR="00C6220B">
        <w:t xml:space="preserve"> (</w:t>
      </w:r>
      <w:r w:rsidR="00C6220B" w:rsidRPr="00C6220B">
        <w:t>NSE</w:t>
      </w:r>
      <w:r w:rsidR="00C6220B">
        <w:t>) d</w:t>
      </w:r>
      <w:r w:rsidR="00E560AE" w:rsidRPr="00C6495E">
        <w:t>ata.</w:t>
      </w:r>
    </w:p>
    <w:p w:rsidR="00256F84" w:rsidRDefault="00E84295" w:rsidP="00C6220B">
      <w:pPr>
        <w:pStyle w:val="BodyText"/>
      </w:pPr>
      <w:r>
        <w:t xml:space="preserve">The </w:t>
      </w:r>
      <w:r w:rsidRPr="002239E9">
        <w:rPr>
          <w:i/>
        </w:rPr>
        <w:t>symbo</w:t>
      </w:r>
      <w:r>
        <w:t xml:space="preserve">l column tells </w:t>
      </w:r>
      <w:r w:rsidR="00E560AE">
        <w:t xml:space="preserve">the corporate symbol mentioned for the stock. The </w:t>
      </w:r>
      <w:r w:rsidR="00E560AE" w:rsidRPr="00B95D60">
        <w:rPr>
          <w:i/>
        </w:rPr>
        <w:t>opening price</w:t>
      </w:r>
      <w:r w:rsidR="00E560AE">
        <w:t xml:space="preserve"> is the first trade worth that was recorded throughout the day’s trading. The </w:t>
      </w:r>
      <w:r w:rsidR="00E560AE" w:rsidRPr="00B95D60">
        <w:rPr>
          <w:i/>
        </w:rPr>
        <w:t>high and low</w:t>
      </w:r>
      <w:r w:rsidR="00E560AE">
        <w:t xml:space="preserve"> is the highest and lowest value respectively at that a stock is listed during a period. The </w:t>
      </w:r>
      <w:r w:rsidR="00E560AE" w:rsidRPr="00B95D60">
        <w:rPr>
          <w:i/>
        </w:rPr>
        <w:t>previous closing</w:t>
      </w:r>
      <w:r w:rsidR="00E560AE">
        <w:t xml:space="preserve"> is going to be a consecutive session's opening price. The </w:t>
      </w:r>
      <w:r w:rsidR="00E560AE" w:rsidRPr="00B95D60">
        <w:rPr>
          <w:i/>
        </w:rPr>
        <w:t>last price</w:t>
      </w:r>
      <w:r w:rsidR="00E560AE">
        <w:t xml:space="preserve"> is the one at which the foremost recent transaction happens. The close is the last value recorded once the market is closed on the day. The </w:t>
      </w:r>
      <w:r w:rsidR="005C0EFC">
        <w:t>V</w:t>
      </w:r>
      <w:r w:rsidR="005C0EFC">
        <w:rPr>
          <w:i/>
        </w:rPr>
        <w:t>olume Weighted Average Price</w:t>
      </w:r>
      <w:r w:rsidR="00E560AE">
        <w:t xml:space="preserve"> (VWAP) is a trading benchmark based on both volume and worth. T</w:t>
      </w:r>
      <w:r w:rsidR="0024145E">
        <w:t>he t</w:t>
      </w:r>
      <w:r w:rsidR="00E560AE">
        <w:t xml:space="preserve">rading </w:t>
      </w:r>
      <w:r w:rsidR="005C0EFC">
        <w:rPr>
          <w:i/>
        </w:rPr>
        <w:t>v</w:t>
      </w:r>
      <w:r w:rsidR="00E560AE" w:rsidRPr="00256F84">
        <w:rPr>
          <w:i/>
        </w:rPr>
        <w:t>olume</w:t>
      </w:r>
      <w:r w:rsidR="00E560AE">
        <w:t xml:space="preserve"> shows the number of shares listed fo</w:t>
      </w:r>
      <w:r w:rsidR="005D2F43">
        <w:t>r the day, listed in lots of hundreds</w:t>
      </w:r>
      <w:r w:rsidR="0024145E">
        <w:t xml:space="preserve"> of</w:t>
      </w:r>
      <w:r w:rsidR="00E560AE">
        <w:t xml:space="preserve"> quantities of shares.</w:t>
      </w:r>
      <w:r w:rsidRPr="00E84295">
        <w:t xml:space="preserve"> Table 1 discusses details for every column used in the HDFC, KOTAK, and SBI datasets.</w:t>
      </w:r>
    </w:p>
    <w:p w:rsidR="00E560AE" w:rsidRPr="005B520E" w:rsidRDefault="00E560AE" w:rsidP="00256F84">
      <w:pPr>
        <w:pStyle w:val="figurecaption"/>
        <w:numPr>
          <w:ilvl w:val="0"/>
          <w:numId w:val="0"/>
        </w:numPr>
        <w:jc w:val="center"/>
      </w:pPr>
      <w:r>
        <w:t>Table</w:t>
      </w:r>
      <w:r w:rsidR="007B4705">
        <w:t xml:space="preserve"> </w:t>
      </w:r>
      <w:r>
        <w:t>1. Top rows of HDFC, KOTAK, and  SBI stock dataset</w:t>
      </w:r>
    </w:p>
    <w:tbl>
      <w:tblPr>
        <w:tblStyle w:val="TableGrid"/>
        <w:tblW w:w="5598" w:type="dxa"/>
        <w:tblLayout w:type="fixed"/>
        <w:tblLook w:val="04A0"/>
      </w:tblPr>
      <w:tblGrid>
        <w:gridCol w:w="1008"/>
        <w:gridCol w:w="900"/>
        <w:gridCol w:w="720"/>
        <w:gridCol w:w="630"/>
        <w:gridCol w:w="630"/>
        <w:gridCol w:w="540"/>
        <w:gridCol w:w="540"/>
        <w:gridCol w:w="630"/>
      </w:tblGrid>
      <w:tr w:rsidR="00D433D0" w:rsidRPr="00D433D0" w:rsidTr="00D433D0">
        <w:tc>
          <w:tcPr>
            <w:tcW w:w="1008"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bCs/>
                <w:sz w:val="16"/>
                <w:szCs w:val="16"/>
                <w:lang w:val="en-US"/>
              </w:rPr>
              <w:t>Date</w:t>
            </w:r>
          </w:p>
        </w:tc>
        <w:tc>
          <w:tcPr>
            <w:tcW w:w="90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Symbol</w:t>
            </w:r>
          </w:p>
        </w:tc>
        <w:tc>
          <w:tcPr>
            <w:tcW w:w="72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Prev Close</w:t>
            </w:r>
          </w:p>
        </w:tc>
        <w:tc>
          <w:tcPr>
            <w:tcW w:w="63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lang w:val="en-US"/>
              </w:rPr>
            </w:pPr>
            <w:r w:rsidRPr="00D433D0">
              <w:rPr>
                <w:rFonts w:ascii="Times New Roman" w:hAnsi="Times New Roman" w:cs="Times New Roman"/>
                <w:b/>
                <w:bCs/>
                <w:sz w:val="16"/>
                <w:szCs w:val="16"/>
                <w:lang w:val="en-US"/>
              </w:rPr>
              <w:t xml:space="preserve">Open </w:t>
            </w:r>
          </w:p>
          <w:p w:rsidR="00D225FD" w:rsidRPr="00D433D0" w:rsidRDefault="00D225FD" w:rsidP="00D433D0">
            <w:pPr>
              <w:pStyle w:val="BodyText"/>
              <w:ind w:firstLine="0"/>
              <w:jc w:val="left"/>
              <w:rPr>
                <w:rFonts w:ascii="Times New Roman" w:hAnsi="Times New Roman" w:cs="Times New Roman"/>
                <w:b/>
                <w:sz w:val="16"/>
                <w:szCs w:val="16"/>
              </w:rPr>
            </w:pPr>
          </w:p>
        </w:tc>
        <w:tc>
          <w:tcPr>
            <w:tcW w:w="63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High</w:t>
            </w:r>
          </w:p>
        </w:tc>
        <w:tc>
          <w:tcPr>
            <w:tcW w:w="54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Low</w:t>
            </w:r>
          </w:p>
        </w:tc>
        <w:tc>
          <w:tcPr>
            <w:tcW w:w="54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Last</w:t>
            </w:r>
          </w:p>
        </w:tc>
        <w:tc>
          <w:tcPr>
            <w:tcW w:w="63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Close</w:t>
            </w:r>
          </w:p>
        </w:tc>
      </w:tr>
      <w:tr w:rsidR="00D433D0" w:rsidRPr="00D433D0" w:rsidTr="00D433D0">
        <w:tc>
          <w:tcPr>
            <w:tcW w:w="1008" w:type="dxa"/>
          </w:tcPr>
          <w:p w:rsidR="00D225FD" w:rsidRPr="00D433D0" w:rsidRDefault="00D225FD" w:rsidP="00D433D0">
            <w:pPr>
              <w:pStyle w:val="BodyText"/>
              <w:ind w:firstLine="0"/>
              <w:rPr>
                <w:rFonts w:ascii="Times New Roman" w:hAnsi="Times New Roman" w:cs="Times New Roman"/>
                <w:sz w:val="16"/>
                <w:szCs w:val="16"/>
              </w:rPr>
            </w:pPr>
            <w:r w:rsidRPr="00D433D0">
              <w:rPr>
                <w:rFonts w:ascii="Times New Roman" w:hAnsi="Times New Roman" w:cs="Times New Roman"/>
                <w:sz w:val="16"/>
                <w:szCs w:val="16"/>
              </w:rPr>
              <w:t>1/3/2000</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HDFC</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272</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5/30/2022</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HDFC</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2330</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2368</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2388</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2362</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2367</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2367</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1/3/2000</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KOTAK</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212</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220</w:t>
            </w:r>
          </w:p>
        </w:tc>
        <w:tc>
          <w:tcPr>
            <w:tcW w:w="630" w:type="dxa"/>
          </w:tcPr>
          <w:p w:rsidR="00D225FD" w:rsidRPr="00D433D0" w:rsidRDefault="00D225FD" w:rsidP="00D225FD">
            <w:pPr>
              <w:pStyle w:val="BodyText"/>
              <w:ind w:firstLine="0"/>
              <w:rPr>
                <w:rFonts w:ascii="Times New Roman" w:hAnsi="Times New Roman" w:cs="Times New Roman"/>
                <w:sz w:val="16"/>
                <w:szCs w:val="16"/>
              </w:rPr>
            </w:pPr>
            <w:r w:rsidRPr="00D433D0">
              <w:rPr>
                <w:rFonts w:ascii="Times New Roman" w:hAnsi="Times New Roman" w:cs="Times New Roman"/>
                <w:sz w:val="16"/>
                <w:szCs w:val="16"/>
              </w:rPr>
              <w:t>229</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220</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229</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229</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5/30/2022</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KOTAK</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1946</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1945</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1952</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1896</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1907</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1903</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1/3/2000</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SBI</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226</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244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244</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244</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5/30/2022</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SBI</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469</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473</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477</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471</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475</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475</w:t>
            </w:r>
          </w:p>
        </w:tc>
      </w:tr>
    </w:tbl>
    <w:p w:rsidR="00E560AE" w:rsidRDefault="00E560AE" w:rsidP="00256F84">
      <w:pPr>
        <w:pStyle w:val="BodyText"/>
        <w:jc w:val="center"/>
      </w:pPr>
    </w:p>
    <w:p w:rsidR="00E560AE" w:rsidRDefault="00E560AE" w:rsidP="00E560AE">
      <w:pPr>
        <w:pStyle w:val="Heading2"/>
      </w:pPr>
      <w:r w:rsidRPr="000C0747">
        <w:lastRenderedPageBreak/>
        <w:t>Data Exploration</w:t>
      </w:r>
    </w:p>
    <w:p w:rsidR="00FA004E" w:rsidRPr="0073319E" w:rsidRDefault="0078210C" w:rsidP="00DE43D0">
      <w:pPr>
        <w:jc w:val="both"/>
      </w:pPr>
      <w:r w:rsidRPr="0078210C">
        <w:rPr>
          <w:b/>
          <w:noProof/>
          <w:sz w:val="16"/>
          <w:szCs w:val="16"/>
        </w:rPr>
        <w:pict>
          <v:shapetype id="_x0000_t202" coordsize="21600,21600" o:spt="202" path="m,l,21600r21600,l21600,xe">
            <v:stroke joinstyle="miter"/>
            <v:path gradientshapeok="t" o:connecttype="rect"/>
          </v:shapetype>
          <v:shape id="_x0000_s1037" type="#_x0000_t202" style="position:absolute;left:0;text-align:left;margin-left:178.55pt;margin-top:28pt;width:13.05pt;height:16.85pt;z-index:251663360">
            <v:textbox style="mso-next-textbox:#_x0000_s1037">
              <w:txbxContent>
                <w:p w:rsidR="00EF7F28" w:rsidRDefault="00EF7F28" w:rsidP="00EF7F28">
                  <w:r>
                    <w:t>0</w:t>
                  </w:r>
                </w:p>
              </w:txbxContent>
            </v:textbox>
          </v:shape>
        </w:pict>
      </w:r>
      <w:r w:rsidRPr="0078210C">
        <w:rPr>
          <w:b/>
          <w:noProof/>
          <w:sz w:val="16"/>
          <w:szCs w:val="16"/>
        </w:rPr>
        <w:pict>
          <v:shape id="_x0000_s1036" type="#_x0000_t202" style="position:absolute;left:0;text-align:left;margin-left:212.25pt;margin-top:33.9pt;width:13.05pt;height:16.85pt;z-index:251662336">
            <v:textbox style="mso-next-textbox:#_x0000_s1036">
              <w:txbxContent>
                <w:p w:rsidR="00EF7F28" w:rsidRDefault="00EF7F28" w:rsidP="00EF7F28">
                  <w:r>
                    <w:t>1</w:t>
                  </w:r>
                </w:p>
              </w:txbxContent>
            </v:textbox>
          </v:shape>
        </w:pict>
      </w:r>
      <w:r w:rsidRPr="0078210C">
        <w:rPr>
          <w:b/>
          <w:noProof/>
          <w:sz w:val="16"/>
          <w:szCs w:val="16"/>
        </w:rPr>
        <w:pict>
          <v:shape id="_x0000_s1035" type="#_x0000_t202" style="position:absolute;left:0;text-align:left;margin-left:137.95pt;margin-top:33.9pt;width:13.05pt;height:16.85pt;z-index:251661312">
            <v:textbox style="mso-next-textbox:#_x0000_s1035">
              <w:txbxContent>
                <w:p w:rsidR="00EF7F28" w:rsidRDefault="00EF7F28" w:rsidP="00EF7F28">
                  <w:r>
                    <w:t>1</w:t>
                  </w:r>
                </w:p>
              </w:txbxContent>
            </v:textbox>
          </v:shape>
        </w:pict>
      </w:r>
      <w:r w:rsidRPr="0078210C">
        <w:rPr>
          <w:b/>
          <w:noProof/>
          <w:sz w:val="16"/>
          <w:szCs w:val="16"/>
        </w:rPr>
        <w:pict>
          <v:shape id="_x0000_s1034" type="#_x0000_t202" style="position:absolute;left:0;text-align:left;margin-left:106.05pt;margin-top:28pt;width:13.05pt;height:16.85pt;z-index:251660288">
            <v:textbox style="mso-next-textbox:#_x0000_s1034">
              <w:txbxContent>
                <w:p w:rsidR="00EF7F28" w:rsidRDefault="00EF7F28" w:rsidP="00EF7F28">
                  <w:r>
                    <w:t>0</w:t>
                  </w:r>
                </w:p>
              </w:txbxContent>
            </v:textbox>
          </v:shape>
        </w:pict>
      </w:r>
      <w:r w:rsidRPr="0078210C">
        <w:rPr>
          <w:b/>
          <w:noProof/>
          <w:sz w:val="16"/>
          <w:szCs w:val="16"/>
        </w:rPr>
        <w:pict>
          <v:shape id="_x0000_s1033" type="#_x0000_t202" style="position:absolute;left:0;text-align:left;margin-left:67.75pt;margin-top:33.9pt;width:13.05pt;height:16.85pt;z-index:251659264">
            <v:textbox style="mso-next-textbox:#_x0000_s1033">
              <w:txbxContent>
                <w:p w:rsidR="00EF7F28" w:rsidRDefault="00EF7F28" w:rsidP="00EF7F28">
                  <w:r>
                    <w:t>1</w:t>
                  </w:r>
                </w:p>
              </w:txbxContent>
            </v:textbox>
          </v:shape>
        </w:pict>
      </w:r>
      <w:r w:rsidRPr="0078210C">
        <w:rPr>
          <w:b/>
          <w:noProof/>
          <w:sz w:val="16"/>
          <w:szCs w:val="16"/>
        </w:rPr>
        <w:pict>
          <v:shape id="_x0000_s1028" type="#_x0000_t202" style="position:absolute;left:0;text-align:left;margin-left:37.35pt;margin-top:21.9pt;width:13.05pt;height:16.85pt;z-index:251658240">
            <v:textbox style="mso-next-textbox:#_x0000_s1028">
              <w:txbxContent>
                <w:p w:rsidR="00EF7F28" w:rsidRDefault="00EF7F28">
                  <w:r>
                    <w:t>0</w:t>
                  </w:r>
                </w:p>
              </w:txbxContent>
            </v:textbox>
          </v:shape>
        </w:pict>
      </w:r>
      <w:r w:rsidR="00FA004E" w:rsidRPr="00FA004E">
        <w:rPr>
          <w:b/>
          <w:sz w:val="16"/>
          <w:szCs w:val="16"/>
        </w:rPr>
        <w:t xml:space="preserve">               </w:t>
      </w:r>
      <w:r w:rsidR="0073319E">
        <w:rPr>
          <w:b/>
          <w:noProof/>
          <w:sz w:val="16"/>
          <w:szCs w:val="16"/>
        </w:rPr>
        <w:drawing>
          <wp:inline distT="0" distB="0" distL="0" distR="0">
            <wp:extent cx="2986797" cy="832219"/>
            <wp:effectExtent l="19050" t="0" r="4053"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986797" cy="832219"/>
                    </a:xfrm>
                    <a:prstGeom prst="rect">
                      <a:avLst/>
                    </a:prstGeom>
                    <a:noFill/>
                    <a:ln w="9525">
                      <a:noFill/>
                      <a:miter lim="800000"/>
                      <a:headEnd/>
                      <a:tailEnd/>
                    </a:ln>
                  </pic:spPr>
                </pic:pic>
              </a:graphicData>
            </a:graphic>
          </wp:inline>
        </w:drawing>
      </w:r>
      <w:r w:rsidR="00FA004E" w:rsidRPr="00FA004E">
        <w:rPr>
          <w:b/>
          <w:sz w:val="16"/>
          <w:szCs w:val="16"/>
        </w:rPr>
        <w:t xml:space="preserve">      </w:t>
      </w:r>
      <w:r w:rsidR="00DF182A">
        <w:rPr>
          <w:b/>
          <w:sz w:val="16"/>
          <w:szCs w:val="16"/>
        </w:rPr>
        <w:t xml:space="preserve">           </w:t>
      </w:r>
    </w:p>
    <w:p w:rsidR="00E560AE" w:rsidRPr="002A045F" w:rsidRDefault="00E560AE" w:rsidP="00256F84">
      <w:pPr>
        <w:pStyle w:val="figurecaption"/>
        <w:jc w:val="center"/>
      </w:pPr>
      <w:r>
        <w:rPr>
          <w:rFonts w:eastAsia="Calibri"/>
        </w:rPr>
        <w:t xml:space="preserve">Class </w:t>
      </w:r>
      <w:r w:rsidRPr="00CA4DD1">
        <w:rPr>
          <w:rFonts w:eastAsia="Calibri"/>
        </w:rPr>
        <w:t>distribution For HDFC, KOTAK, and SBI stock</w:t>
      </w:r>
    </w:p>
    <w:p w:rsidR="002A045F" w:rsidRDefault="002A045F" w:rsidP="002A045F">
      <w:pPr>
        <w:pStyle w:val="figurecaption"/>
        <w:numPr>
          <w:ilvl w:val="0"/>
          <w:numId w:val="0"/>
        </w:numPr>
        <w:rPr>
          <w:sz w:val="20"/>
          <w:szCs w:val="20"/>
        </w:rPr>
      </w:pPr>
      <w:r>
        <w:rPr>
          <w:sz w:val="20"/>
          <w:szCs w:val="20"/>
        </w:rPr>
        <w:tab/>
      </w:r>
      <w:r w:rsidR="00E84295">
        <w:rPr>
          <w:sz w:val="20"/>
          <w:szCs w:val="20"/>
        </w:rPr>
        <w:t xml:space="preserve">As shown in Fig. 1, </w:t>
      </w:r>
      <w:r w:rsidRPr="002A045F">
        <w:rPr>
          <w:sz w:val="20"/>
          <w:szCs w:val="20"/>
        </w:rPr>
        <w:t>HDFC STOCK is moving 2140 times in an upward direction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2A045F" w:rsidRPr="002A045F" w:rsidRDefault="00DE43D0" w:rsidP="00746BFA">
      <w:pPr>
        <w:pStyle w:val="figurecaption"/>
        <w:numPr>
          <w:ilvl w:val="0"/>
          <w:numId w:val="0"/>
        </w:numPr>
        <w:jc w:val="center"/>
        <w:rPr>
          <w:sz w:val="20"/>
          <w:szCs w:val="20"/>
        </w:rPr>
      </w:pPr>
      <w:r>
        <w:drawing>
          <wp:inline distT="0" distB="0" distL="0" distR="0">
            <wp:extent cx="3025707" cy="684401"/>
            <wp:effectExtent l="19050" t="0" r="3243"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srcRect/>
                    <a:stretch>
                      <a:fillRect/>
                    </a:stretch>
                  </pic:blipFill>
                  <pic:spPr bwMode="auto">
                    <a:xfrm>
                      <a:off x="0" y="0"/>
                      <a:ext cx="3026653" cy="684615"/>
                    </a:xfrm>
                    <a:prstGeom prst="rect">
                      <a:avLst/>
                    </a:prstGeom>
                    <a:noFill/>
                    <a:ln w="9525">
                      <a:noFill/>
                      <a:miter lim="800000"/>
                      <a:headEnd/>
                      <a:tailEnd/>
                    </a:ln>
                  </pic:spPr>
                </pic:pic>
              </a:graphicData>
            </a:graphic>
          </wp:inline>
        </w:drawing>
      </w:r>
    </w:p>
    <w:p w:rsidR="002A045F" w:rsidRDefault="002A045F" w:rsidP="004700AF">
      <w:pPr>
        <w:pStyle w:val="figurecaption"/>
        <w:jc w:val="center"/>
      </w:pPr>
      <w:r w:rsidRPr="004777A2">
        <w:t>Close values of HDFC</w:t>
      </w:r>
      <w:r>
        <w:t>, KOTAK</w:t>
      </w:r>
      <w:r w:rsidRPr="004777A2">
        <w:t xml:space="preserve">, </w:t>
      </w:r>
      <w:r>
        <w:t>and SBI</w:t>
      </w:r>
      <w:r w:rsidRPr="004777A2">
        <w:t xml:space="preserve"> stock from 2000 to 2022</w:t>
      </w:r>
    </w:p>
    <w:p w:rsidR="002A045F" w:rsidRDefault="00746BFA" w:rsidP="002A045F">
      <w:pPr>
        <w:pStyle w:val="figurecaption"/>
        <w:numPr>
          <w:ilvl w:val="0"/>
          <w:numId w:val="0"/>
        </w:numPr>
      </w:pPr>
      <w:r>
        <w:drawing>
          <wp:inline distT="0" distB="0" distL="0" distR="0">
            <wp:extent cx="2801971" cy="115580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2801480" cy="1155601"/>
                    </a:xfrm>
                    <a:prstGeom prst="rect">
                      <a:avLst/>
                    </a:prstGeom>
                    <a:noFill/>
                    <a:ln w="9525">
                      <a:noFill/>
                      <a:miter lim="800000"/>
                      <a:headEnd/>
                      <a:tailEnd/>
                    </a:ln>
                  </pic:spPr>
                </pic:pic>
              </a:graphicData>
            </a:graphic>
          </wp:inline>
        </w:drawing>
      </w:r>
    </w:p>
    <w:p w:rsidR="002A045F" w:rsidRPr="002A045F" w:rsidRDefault="002A045F" w:rsidP="004700AF">
      <w:pPr>
        <w:pStyle w:val="figurecaption"/>
        <w:jc w:val="center"/>
      </w:pPr>
      <w:r w:rsidRPr="006C2C62">
        <w:rPr>
          <w:rFonts w:eastAsia="Calibri"/>
        </w:rPr>
        <w:t>Distribution Plot for the</w:t>
      </w:r>
      <w:r>
        <w:rPr>
          <w:rFonts w:eastAsia="Calibri"/>
        </w:rPr>
        <w:t xml:space="preserve"> </w:t>
      </w:r>
      <w:r w:rsidRPr="006C2C62">
        <w:rPr>
          <w:rFonts w:eastAsia="Calibri"/>
        </w:rPr>
        <w:t xml:space="preserve"> HDFC Stock</w:t>
      </w:r>
    </w:p>
    <w:p w:rsidR="002A045F" w:rsidRDefault="00864770" w:rsidP="002A045F">
      <w:pPr>
        <w:pStyle w:val="figurecaption"/>
        <w:numPr>
          <w:ilvl w:val="0"/>
          <w:numId w:val="0"/>
        </w:numPr>
      </w:pPr>
      <w:r>
        <w:drawing>
          <wp:inline distT="0" distB="0" distL="0" distR="0">
            <wp:extent cx="2870065" cy="1190293"/>
            <wp:effectExtent l="19050" t="0" r="64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2872002" cy="1191096"/>
                    </a:xfrm>
                    <a:prstGeom prst="rect">
                      <a:avLst/>
                    </a:prstGeom>
                    <a:noFill/>
                    <a:ln w="9525">
                      <a:noFill/>
                      <a:miter lim="800000"/>
                      <a:headEnd/>
                      <a:tailEnd/>
                    </a:ln>
                  </pic:spPr>
                </pic:pic>
              </a:graphicData>
            </a:graphic>
          </wp:inline>
        </w:drawing>
      </w:r>
    </w:p>
    <w:p w:rsidR="002A045F" w:rsidRPr="002A045F" w:rsidRDefault="002A045F" w:rsidP="004700AF">
      <w:pPr>
        <w:pStyle w:val="figurecaption"/>
        <w:jc w:val="left"/>
      </w:pPr>
      <w:r>
        <w:rPr>
          <w:rFonts w:eastAsia="Calibri"/>
        </w:rPr>
        <w:t>Distribution Plot for the  KOTAK</w:t>
      </w:r>
      <w:r w:rsidRPr="006C2C62">
        <w:rPr>
          <w:rFonts w:eastAsia="Calibri"/>
        </w:rPr>
        <w:t xml:space="preserve"> Stock</w:t>
      </w:r>
    </w:p>
    <w:p w:rsidR="002A045F" w:rsidRDefault="00864770" w:rsidP="002A045F">
      <w:pPr>
        <w:pStyle w:val="figurecaption"/>
        <w:numPr>
          <w:ilvl w:val="0"/>
          <w:numId w:val="0"/>
        </w:numPr>
      </w:pPr>
      <w:r>
        <w:drawing>
          <wp:inline distT="0" distB="0" distL="0" distR="0">
            <wp:extent cx="2918703" cy="124506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2922897" cy="1246857"/>
                    </a:xfrm>
                    <a:prstGeom prst="rect">
                      <a:avLst/>
                    </a:prstGeom>
                    <a:noFill/>
                    <a:ln w="9525">
                      <a:noFill/>
                      <a:miter lim="800000"/>
                      <a:headEnd/>
                      <a:tailEnd/>
                    </a:ln>
                  </pic:spPr>
                </pic:pic>
              </a:graphicData>
            </a:graphic>
          </wp:inline>
        </w:drawing>
      </w:r>
    </w:p>
    <w:p w:rsidR="002A045F" w:rsidRPr="006C2C62" w:rsidRDefault="002A045F" w:rsidP="002A045F">
      <w:pPr>
        <w:pStyle w:val="figurecaption"/>
        <w:jc w:val="center"/>
      </w:pPr>
      <w:r>
        <w:rPr>
          <w:rFonts w:eastAsia="Calibri"/>
        </w:rPr>
        <w:t>Distribution Plot for the  SBI</w:t>
      </w:r>
      <w:r w:rsidRPr="006C2C62">
        <w:rPr>
          <w:rFonts w:eastAsia="Calibri"/>
        </w:rPr>
        <w:t xml:space="preserve"> Stock</w:t>
      </w:r>
    </w:p>
    <w:p w:rsidR="002A045F" w:rsidRDefault="00D90C92" w:rsidP="002A045F">
      <w:pPr>
        <w:pStyle w:val="figurecaption"/>
        <w:numPr>
          <w:ilvl w:val="0"/>
          <w:numId w:val="0"/>
        </w:numPr>
        <w:rPr>
          <w:sz w:val="20"/>
          <w:szCs w:val="20"/>
        </w:rPr>
      </w:pPr>
      <w:r w:rsidRPr="00D90C92">
        <w:rPr>
          <w:sz w:val="20"/>
          <w:szCs w:val="20"/>
        </w:rPr>
        <w:t>As shown in Fig. 2, 3, 4, and 5</w:t>
      </w:r>
      <w:r>
        <w:rPr>
          <w:sz w:val="20"/>
          <w:szCs w:val="20"/>
        </w:rPr>
        <w:t>, the d</w:t>
      </w:r>
      <w:r w:rsidR="002A045F" w:rsidRPr="002A045F">
        <w:rPr>
          <w:sz w:val="20"/>
          <w:szCs w:val="20"/>
        </w:rPr>
        <w:t>ata has a positively skewed distribution which is observed in all 3 stocks namely HDFC, KOTAK, and SBI bank stock. SBI</w:t>
      </w:r>
      <w:r>
        <w:rPr>
          <w:sz w:val="20"/>
          <w:szCs w:val="20"/>
        </w:rPr>
        <w:t xml:space="preserve"> </w:t>
      </w:r>
      <w:r w:rsidR="002A045F" w:rsidRPr="002A045F">
        <w:rPr>
          <w:sz w:val="20"/>
          <w:szCs w:val="20"/>
        </w:rPr>
        <w:t>BANK stock is looking as the least volatile stock followed by HDFC and then KOTAK.</w:t>
      </w:r>
    </w:p>
    <w:p w:rsidR="002A045F" w:rsidRDefault="00F43EFE" w:rsidP="00F43004">
      <w:pPr>
        <w:pStyle w:val="figurecaption"/>
        <w:numPr>
          <w:ilvl w:val="0"/>
          <w:numId w:val="0"/>
        </w:numPr>
        <w:jc w:val="center"/>
        <w:rPr>
          <w:sz w:val="20"/>
          <w:szCs w:val="20"/>
        </w:rPr>
      </w:pPr>
      <w:r>
        <w:lastRenderedPageBreak/>
        <w:drawing>
          <wp:inline distT="0" distB="0" distL="0" distR="0">
            <wp:extent cx="2981879" cy="1400783"/>
            <wp:effectExtent l="19050" t="0" r="8971"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2994723" cy="1406817"/>
                    </a:xfrm>
                    <a:prstGeom prst="rect">
                      <a:avLst/>
                    </a:prstGeom>
                    <a:noFill/>
                    <a:ln w="9525">
                      <a:noFill/>
                      <a:miter lim="800000"/>
                      <a:headEnd/>
                      <a:tailEnd/>
                    </a:ln>
                  </pic:spPr>
                </pic:pic>
              </a:graphicData>
            </a:graphic>
          </wp:inline>
        </w:drawing>
      </w:r>
    </w:p>
    <w:p w:rsidR="002A045F" w:rsidRPr="002B1400" w:rsidRDefault="002A045F" w:rsidP="002A045F">
      <w:pPr>
        <w:pStyle w:val="figurecaption"/>
        <w:jc w:val="center"/>
      </w:pPr>
      <w:r w:rsidRPr="002B1400">
        <w:rPr>
          <w:rFonts w:eastAsia="Calibri"/>
        </w:rPr>
        <w:t>Customized Scatter Plot against close price for the HDFC Stock from 2000 to 2022</w:t>
      </w:r>
    </w:p>
    <w:p w:rsidR="002A045F" w:rsidRPr="002A045F" w:rsidRDefault="008E03B3" w:rsidP="002A045F">
      <w:pPr>
        <w:pStyle w:val="figurecaption"/>
        <w:numPr>
          <w:ilvl w:val="0"/>
          <w:numId w:val="0"/>
        </w:numPr>
        <w:rPr>
          <w:sz w:val="20"/>
          <w:szCs w:val="20"/>
        </w:rPr>
      </w:pPr>
      <w:r>
        <w:drawing>
          <wp:inline distT="0" distB="0" distL="0" distR="0">
            <wp:extent cx="2982987" cy="1318965"/>
            <wp:effectExtent l="19050" t="0" r="7863"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2992557" cy="1323196"/>
                    </a:xfrm>
                    <a:prstGeom prst="rect">
                      <a:avLst/>
                    </a:prstGeom>
                    <a:noFill/>
                    <a:ln w="9525">
                      <a:noFill/>
                      <a:miter lim="800000"/>
                      <a:headEnd/>
                      <a:tailEnd/>
                    </a:ln>
                  </pic:spPr>
                </pic:pic>
              </a:graphicData>
            </a:graphic>
          </wp:inline>
        </w:drawing>
      </w:r>
    </w:p>
    <w:p w:rsidR="002A045F" w:rsidRPr="008E03B3" w:rsidRDefault="002A045F" w:rsidP="003E6B59">
      <w:pPr>
        <w:pStyle w:val="figurecaption"/>
        <w:jc w:val="center"/>
      </w:pPr>
      <w:r w:rsidRPr="002B1400">
        <w:rPr>
          <w:rFonts w:eastAsia="Calibri"/>
        </w:rPr>
        <w:t>Customized Scatter Plot agai</w:t>
      </w:r>
      <w:r>
        <w:rPr>
          <w:rFonts w:eastAsia="Calibri"/>
        </w:rPr>
        <w:t>nst close price for the  KOTAK</w:t>
      </w:r>
      <w:r w:rsidRPr="002B1400">
        <w:rPr>
          <w:rFonts w:eastAsia="Calibri"/>
        </w:rPr>
        <w:t xml:space="preserve"> Stock </w:t>
      </w:r>
      <w:r w:rsidR="004700AF" w:rsidRPr="002B1400">
        <w:rPr>
          <w:rFonts w:eastAsia="Calibri"/>
        </w:rPr>
        <w:t>from 2000 to 2022</w:t>
      </w:r>
    </w:p>
    <w:p w:rsidR="008E03B3" w:rsidRPr="002B2A78" w:rsidRDefault="008E03B3" w:rsidP="008E03B3">
      <w:pPr>
        <w:pStyle w:val="figurecaption"/>
        <w:numPr>
          <w:ilvl w:val="0"/>
          <w:numId w:val="0"/>
        </w:numPr>
      </w:pPr>
      <w:r>
        <w:drawing>
          <wp:inline distT="0" distB="0" distL="0" distR="0">
            <wp:extent cx="2986797" cy="1190321"/>
            <wp:effectExtent l="19050" t="0" r="4053"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2983041" cy="1188824"/>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2B1400">
        <w:rPr>
          <w:rFonts w:eastAsia="Calibri"/>
        </w:rPr>
        <w:t>Customized Scatter Plot agai</w:t>
      </w:r>
      <w:r>
        <w:rPr>
          <w:rFonts w:eastAsia="Calibri"/>
        </w:rPr>
        <w:t xml:space="preserve">nst close price for the  SBI </w:t>
      </w:r>
      <w:r w:rsidRPr="002B1400">
        <w:rPr>
          <w:rFonts w:eastAsia="Calibri"/>
        </w:rPr>
        <w:t xml:space="preserve"> Stock from 2000 to 2022</w:t>
      </w:r>
    </w:p>
    <w:p w:rsidR="00E560AE" w:rsidRDefault="00F43004" w:rsidP="002B2A78">
      <w:pPr>
        <w:pStyle w:val="figurecaption"/>
        <w:numPr>
          <w:ilvl w:val="0"/>
          <w:numId w:val="0"/>
        </w:numPr>
        <w:rPr>
          <w:sz w:val="20"/>
          <w:szCs w:val="20"/>
        </w:rPr>
      </w:pPr>
      <w:r>
        <w:rPr>
          <w:sz w:val="20"/>
          <w:szCs w:val="20"/>
        </w:rPr>
        <w:t>As s</w:t>
      </w:r>
      <w:r w:rsidR="00F43EFE">
        <w:rPr>
          <w:sz w:val="20"/>
          <w:szCs w:val="20"/>
        </w:rPr>
        <w:t xml:space="preserve">hown in Fig. 6, 7, </w:t>
      </w:r>
      <w:r w:rsidR="0024145E">
        <w:rPr>
          <w:sz w:val="20"/>
          <w:szCs w:val="20"/>
        </w:rPr>
        <w:t xml:space="preserve">and </w:t>
      </w:r>
      <w:r w:rsidR="00F43EFE">
        <w:rPr>
          <w:sz w:val="20"/>
          <w:szCs w:val="20"/>
        </w:rPr>
        <w:t>8</w:t>
      </w:r>
      <w:r w:rsidR="00DE43D0">
        <w:rPr>
          <w:sz w:val="20"/>
          <w:szCs w:val="20"/>
        </w:rPr>
        <w:t xml:space="preserve">, </w:t>
      </w:r>
      <w:r w:rsidR="002A045F" w:rsidRPr="002A045F">
        <w:rPr>
          <w:sz w:val="20"/>
          <w:szCs w:val="20"/>
        </w:rPr>
        <w:t>a linear relationship exists between</w:t>
      </w:r>
      <w:r w:rsidR="003E6B59">
        <w:rPr>
          <w:sz w:val="20"/>
          <w:szCs w:val="20"/>
        </w:rPr>
        <w:t xml:space="preserve"> Independent variables and the t</w:t>
      </w:r>
      <w:r w:rsidR="002A045F" w:rsidRPr="002A045F">
        <w:rPr>
          <w:sz w:val="20"/>
          <w:szCs w:val="20"/>
        </w:rPr>
        <w:t>arget variable except for fewer outliers which is quite negligible.</w:t>
      </w:r>
    </w:p>
    <w:p w:rsidR="00FB7850" w:rsidRPr="005B520E" w:rsidRDefault="00FB7850" w:rsidP="00FB7850">
      <w:pPr>
        <w:pStyle w:val="Heading2"/>
      </w:pPr>
      <w:r>
        <w:t>Data Pre-processing</w:t>
      </w:r>
    </w:p>
    <w:p w:rsidR="00FB7850" w:rsidRDefault="00FB7850" w:rsidP="008E03B3">
      <w:pPr>
        <w:pStyle w:val="BodyText"/>
      </w:pPr>
      <w:r>
        <w:t xml:space="preserve">The HDFC, KOTAK, and SBI data which are taken from </w:t>
      </w:r>
      <w:r w:rsidR="008E03B3">
        <w:t>National S</w:t>
      </w:r>
      <w:r w:rsidR="008E03B3" w:rsidRPr="00C6220B">
        <w:t>t</w:t>
      </w:r>
      <w:r w:rsidR="008E03B3">
        <w:t>ock E</w:t>
      </w:r>
      <w:r w:rsidR="008E03B3" w:rsidRPr="00C6220B">
        <w:t>xchange</w:t>
      </w:r>
      <w:r w:rsidR="008E03B3">
        <w:t xml:space="preserve"> (</w:t>
      </w:r>
      <w:r w:rsidR="008E03B3" w:rsidRPr="00C6220B">
        <w:t>NSE</w:t>
      </w:r>
      <w:r w:rsidR="008E03B3">
        <w:t xml:space="preserve">) </w:t>
      </w:r>
      <w:r>
        <w:t>come with a lot of limitations that have to be processed.</w:t>
      </w:r>
    </w:p>
    <w:p w:rsidR="00FB7850" w:rsidRDefault="00FB7850" w:rsidP="00FB7850">
      <w:pPr>
        <w:pStyle w:val="BodyText"/>
      </w:pPr>
      <w:r>
        <w:t>Handling Missing values: T</w:t>
      </w:r>
      <w:r w:rsidR="00F43004">
        <w:t>hree of the features’ trades, ‘deliverable volume’, and’% d</w:t>
      </w:r>
      <w:r>
        <w:t xml:space="preserve">eliverable were dropped as they are having several missing values. </w:t>
      </w:r>
    </w:p>
    <w:p w:rsidR="00FB7850" w:rsidRDefault="008E03B3" w:rsidP="00FB7850">
      <w:pPr>
        <w:pStyle w:val="BodyText"/>
      </w:pPr>
      <w:r>
        <w:t xml:space="preserve">Features Addition: </w:t>
      </w:r>
      <w:r w:rsidR="00FB7850">
        <w:t>Computed variables added to the dataset are simple and exponential moving a</w:t>
      </w:r>
      <w:r w:rsidR="003E6B59">
        <w:t>verages for rolling periods of seven, thirteen, twenty</w:t>
      </w:r>
      <w:r w:rsidR="00FB7850">
        <w:t>,</w:t>
      </w:r>
      <w:r w:rsidR="003E6B59">
        <w:t xml:space="preserve"> hundred</w:t>
      </w:r>
      <w:r w:rsidR="00FB7850">
        <w:t xml:space="preserve">, and </w:t>
      </w:r>
      <w:r w:rsidR="003E6B59">
        <w:t xml:space="preserve">two hundred days. </w:t>
      </w:r>
      <w:r>
        <w:t xml:space="preserve">The </w:t>
      </w:r>
      <w:r w:rsidR="003E6B59">
        <w:t>one</w:t>
      </w:r>
      <w:r w:rsidR="00FB7850">
        <w:t xml:space="preserve"> day's previous lag values of vol</w:t>
      </w:r>
      <w:r w:rsidR="00A8265D">
        <w:t>ume are also added as features. Six, ten, fourteen</w:t>
      </w:r>
      <w:r w:rsidR="00FB7850">
        <w:t xml:space="preserve">, and </w:t>
      </w:r>
      <w:r w:rsidR="00A8265D">
        <w:t>thirty</w:t>
      </w:r>
      <w:r w:rsidR="00FB7850">
        <w:t xml:space="preserve"> </w:t>
      </w:r>
      <w:r>
        <w:t>day</w:t>
      </w:r>
      <w:r w:rsidR="0024145E">
        <w:t>s’</w:t>
      </w:r>
      <w:r w:rsidR="00FB7850">
        <w:t xml:space="preserve"> consecutive closing prices are tabulated week on week for the entire dataset and utilized as different feature variables. Momentum, trend, volatility, and volume indicators are also used as feature variables.</w:t>
      </w:r>
    </w:p>
    <w:p w:rsidR="00FB7850" w:rsidRDefault="00FB7850" w:rsidP="00FB7850">
      <w:pPr>
        <w:pStyle w:val="BodyText"/>
      </w:pPr>
      <w:r>
        <w:t xml:space="preserve">Data Scaling: Minmax Scaler is the data scaling approach that is being used. MinMax Scaler shrinks the data inside the given range, from zero to one. </w:t>
      </w:r>
    </w:p>
    <w:p w:rsidR="00FB7850" w:rsidRPr="005B520E" w:rsidRDefault="00FB7850" w:rsidP="00FB7850">
      <w:pPr>
        <w:pStyle w:val="Heading2"/>
        <w:jc w:val="center"/>
      </w:pPr>
      <w:r w:rsidRPr="000229D3">
        <w:lastRenderedPageBreak/>
        <w:t>Data Modeling</w:t>
      </w:r>
    </w:p>
    <w:p w:rsidR="00BB3A83" w:rsidRDefault="00BB3A83" w:rsidP="00BB3A83">
      <w:pPr>
        <w:pStyle w:val="BodyText"/>
      </w:pPr>
      <w:r w:rsidRPr="00BB3A83">
        <w:t xml:space="preserve">Based on direction detection accuracy, it can be suggested to the prospective investor whether to invest or not invest in stock. Direction prediction accuracy is further determined using momentum, trend, volatility, and volume indicators as feature variables and building different classification models on them. Table 2 explains the </w:t>
      </w:r>
      <w:r w:rsidR="00EB7529">
        <w:t>modelling strategies and model e</w:t>
      </w:r>
      <w:r w:rsidRPr="00BB3A83">
        <w:t>valu</w:t>
      </w:r>
      <w:r w:rsidR="002F29ED">
        <w:t>ation Rule used for this paper</w:t>
      </w:r>
      <w:r w:rsidRPr="00BB3A83">
        <w:t>.</w:t>
      </w:r>
    </w:p>
    <w:p w:rsidR="00A56CFC" w:rsidRDefault="001C2249" w:rsidP="007B4705">
      <w:pPr>
        <w:jc w:val="both"/>
        <w:rPr>
          <w:spacing w:val="-1"/>
          <w:sz w:val="16"/>
          <w:szCs w:val="16"/>
        </w:rPr>
      </w:pPr>
      <w:r>
        <w:rPr>
          <w:noProof/>
          <w:sz w:val="16"/>
          <w:szCs w:val="16"/>
        </w:rPr>
        <w:t xml:space="preserve">Table 2. </w:t>
      </w:r>
      <w:r w:rsidR="00A56CFC" w:rsidRPr="008A7D74">
        <w:rPr>
          <w:spacing w:val="-1"/>
          <w:sz w:val="16"/>
          <w:szCs w:val="16"/>
        </w:rPr>
        <w:t xml:space="preserve">Modelling strategies and </w:t>
      </w:r>
      <w:r w:rsidR="009D7B1D">
        <w:rPr>
          <w:spacing w:val="-1"/>
          <w:sz w:val="16"/>
          <w:szCs w:val="16"/>
        </w:rPr>
        <w:t>model e</w:t>
      </w:r>
      <w:r w:rsidR="00A56CFC" w:rsidRPr="008A7D74">
        <w:rPr>
          <w:spacing w:val="-1"/>
          <w:sz w:val="16"/>
          <w:szCs w:val="16"/>
        </w:rPr>
        <w:t xml:space="preserve">valuation </w:t>
      </w:r>
      <w:r w:rsidR="009D7B1D">
        <w:rPr>
          <w:spacing w:val="-1"/>
          <w:sz w:val="16"/>
          <w:szCs w:val="16"/>
        </w:rPr>
        <w:t>r</w:t>
      </w:r>
      <w:r w:rsidR="00A56CFC" w:rsidRPr="008A7D74">
        <w:rPr>
          <w:spacing w:val="-1"/>
          <w:sz w:val="16"/>
          <w:szCs w:val="16"/>
        </w:rPr>
        <w:t>ule</w:t>
      </w:r>
    </w:p>
    <w:p w:rsidR="009326DA" w:rsidRPr="008A7D74" w:rsidRDefault="009326DA" w:rsidP="00A56CFC">
      <w:pPr>
        <w:rPr>
          <w:spacing w:val="-1"/>
          <w:sz w:val="16"/>
          <w:szCs w:val="16"/>
        </w:rPr>
      </w:pPr>
    </w:p>
    <w:tbl>
      <w:tblPr>
        <w:tblStyle w:val="TableGrid"/>
        <w:tblW w:w="0" w:type="auto"/>
        <w:tblLook w:val="04A0"/>
      </w:tblPr>
      <w:tblGrid>
        <w:gridCol w:w="2464"/>
        <w:gridCol w:w="2464"/>
      </w:tblGrid>
      <w:tr w:rsidR="007C0D78" w:rsidRPr="007E785B" w:rsidTr="004827B8">
        <w:trPr>
          <w:trHeight w:val="259"/>
        </w:trPr>
        <w:tc>
          <w:tcPr>
            <w:tcW w:w="2464" w:type="dxa"/>
            <w:shd w:val="clear" w:color="auto" w:fill="E7E6E6" w:themeFill="background2"/>
            <w:vAlign w:val="center"/>
          </w:tcPr>
          <w:p w:rsidR="007C0D78" w:rsidRPr="004E188B" w:rsidRDefault="009D7B1D" w:rsidP="004E188B">
            <w:pPr>
              <w:pStyle w:val="BodyText"/>
              <w:ind w:firstLine="0"/>
              <w:jc w:val="left"/>
              <w:rPr>
                <w:rFonts w:ascii="Times New Roman" w:hAnsi="Times New Roman" w:cs="Times New Roman"/>
                <w:b/>
                <w:sz w:val="16"/>
                <w:szCs w:val="16"/>
              </w:rPr>
            </w:pPr>
            <w:r w:rsidRPr="004E188B">
              <w:rPr>
                <w:rFonts w:ascii="Times New Roman" w:hAnsi="Times New Roman" w:cs="Times New Roman"/>
                <w:b/>
                <w:sz w:val="16"/>
                <w:szCs w:val="16"/>
              </w:rPr>
              <w:t>Modelling s</w:t>
            </w:r>
            <w:r w:rsidR="007C0D78" w:rsidRPr="004E188B">
              <w:rPr>
                <w:rFonts w:ascii="Times New Roman" w:hAnsi="Times New Roman" w:cs="Times New Roman"/>
                <w:b/>
                <w:sz w:val="16"/>
                <w:szCs w:val="16"/>
              </w:rPr>
              <w:t>trategies</w:t>
            </w:r>
          </w:p>
        </w:tc>
        <w:tc>
          <w:tcPr>
            <w:tcW w:w="2464" w:type="dxa"/>
            <w:shd w:val="clear" w:color="auto" w:fill="E7E6E6" w:themeFill="background2"/>
            <w:vAlign w:val="center"/>
          </w:tcPr>
          <w:p w:rsidR="007C0D78" w:rsidRPr="004E188B" w:rsidRDefault="009D7B1D" w:rsidP="004E188B">
            <w:pPr>
              <w:pStyle w:val="BodyText"/>
              <w:ind w:firstLine="0"/>
              <w:jc w:val="left"/>
              <w:rPr>
                <w:rFonts w:ascii="Times New Roman" w:hAnsi="Times New Roman" w:cs="Times New Roman"/>
                <w:b/>
                <w:sz w:val="16"/>
                <w:szCs w:val="16"/>
              </w:rPr>
            </w:pPr>
            <w:r w:rsidRPr="004E188B">
              <w:rPr>
                <w:rFonts w:ascii="Times New Roman" w:hAnsi="Times New Roman" w:cs="Times New Roman"/>
                <w:b/>
                <w:sz w:val="16"/>
                <w:szCs w:val="16"/>
              </w:rPr>
              <w:t>Model evaluation r</w:t>
            </w:r>
            <w:r w:rsidR="00712FAD" w:rsidRPr="004E188B">
              <w:rPr>
                <w:rFonts w:ascii="Times New Roman" w:hAnsi="Times New Roman" w:cs="Times New Roman"/>
                <w:b/>
                <w:sz w:val="16"/>
                <w:szCs w:val="16"/>
              </w:rPr>
              <w:t>ule</w:t>
            </w:r>
          </w:p>
        </w:tc>
      </w:tr>
      <w:tr w:rsidR="007C0D78" w:rsidTr="004827B8">
        <w:trPr>
          <w:trHeight w:val="1078"/>
        </w:trPr>
        <w:tc>
          <w:tcPr>
            <w:tcW w:w="2464" w:type="dxa"/>
          </w:tcPr>
          <w:p w:rsidR="007C0D78" w:rsidRPr="00712FAD" w:rsidRDefault="00712FAD" w:rsidP="00A8265D">
            <w:pPr>
              <w:pStyle w:val="BodyText"/>
              <w:ind w:firstLine="0"/>
              <w:jc w:val="left"/>
              <w:rPr>
                <w:rFonts w:ascii="Times New Roman" w:hAnsi="Times New Roman" w:cs="Times New Roman"/>
                <w:sz w:val="16"/>
                <w:szCs w:val="16"/>
              </w:rPr>
            </w:pPr>
            <w:r w:rsidRPr="00712FAD">
              <w:rPr>
                <w:rFonts w:ascii="Times New Roman" w:hAnsi="Times New Roman" w:cs="Times New Roman"/>
                <w:sz w:val="16"/>
                <w:szCs w:val="16"/>
              </w:rPr>
              <w:t xml:space="preserve">Direction </w:t>
            </w:r>
            <w:r w:rsidR="00A8265D">
              <w:rPr>
                <w:rFonts w:ascii="Times New Roman" w:hAnsi="Times New Roman" w:cs="Times New Roman"/>
                <w:sz w:val="16"/>
                <w:szCs w:val="16"/>
              </w:rPr>
              <w:t>detection by six, ten, and fourteen</w:t>
            </w:r>
            <w:r w:rsidRPr="00712FAD">
              <w:rPr>
                <w:rFonts w:ascii="Times New Roman" w:hAnsi="Times New Roman" w:cs="Times New Roman"/>
                <w:sz w:val="16"/>
                <w:szCs w:val="16"/>
              </w:rPr>
              <w:t xml:space="preserve"> days consecutive closing prices split week on the week.</w:t>
            </w:r>
          </w:p>
        </w:tc>
        <w:tc>
          <w:tcPr>
            <w:tcW w:w="2464"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price&gt;0.7% =&gt;Positive Trend</w:t>
            </w:r>
          </w:p>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price&lt;-0.7% =&gt;Negative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 between 0.7 and  0.7% =&gt;Neutral</w:t>
            </w:r>
          </w:p>
        </w:tc>
      </w:tr>
      <w:tr w:rsidR="007C0D78" w:rsidTr="004827B8">
        <w:trPr>
          <w:trHeight w:val="751"/>
        </w:trPr>
        <w:tc>
          <w:tcPr>
            <w:tcW w:w="2464" w:type="dxa"/>
          </w:tcPr>
          <w:p w:rsidR="007C0D78" w:rsidRPr="00712FAD" w:rsidRDefault="00A8265D" w:rsidP="00A8265D">
            <w:pPr>
              <w:pStyle w:val="BodyText"/>
              <w:ind w:firstLine="0"/>
              <w:jc w:val="left"/>
              <w:rPr>
                <w:rFonts w:ascii="Times New Roman" w:hAnsi="Times New Roman" w:cs="Times New Roman"/>
                <w:sz w:val="16"/>
                <w:szCs w:val="16"/>
              </w:rPr>
            </w:pPr>
            <w:r>
              <w:rPr>
                <w:rFonts w:ascii="Times New Roman" w:eastAsia="Calibri" w:hAnsi="Times New Roman" w:cs="Times New Roman"/>
                <w:sz w:val="16"/>
                <w:szCs w:val="16"/>
                <w:lang w:val="en-US"/>
              </w:rPr>
              <w:t>Go l</w:t>
            </w:r>
            <w:r w:rsidR="00712FAD" w:rsidRPr="00712FAD">
              <w:rPr>
                <w:rFonts w:ascii="Times New Roman" w:eastAsia="Calibri" w:hAnsi="Times New Roman" w:cs="Times New Roman"/>
                <w:sz w:val="16"/>
                <w:szCs w:val="16"/>
                <w:lang w:val="en-US"/>
              </w:rPr>
              <w:t xml:space="preserve">ong </w:t>
            </w:r>
            <w:r>
              <w:rPr>
                <w:rFonts w:ascii="Times New Roman" w:eastAsia="Calibri" w:hAnsi="Times New Roman" w:cs="Times New Roman"/>
                <w:sz w:val="16"/>
                <w:szCs w:val="16"/>
                <w:lang w:val="en-US"/>
              </w:rPr>
              <w:t>direction p</w:t>
            </w:r>
            <w:r w:rsidR="00712FAD" w:rsidRPr="00712FAD">
              <w:rPr>
                <w:rFonts w:ascii="Times New Roman" w:eastAsia="Calibri" w:hAnsi="Times New Roman" w:cs="Times New Roman"/>
                <w:sz w:val="16"/>
                <w:szCs w:val="16"/>
                <w:lang w:val="en-US"/>
              </w:rPr>
              <w:t>redict</w:t>
            </w:r>
            <w:r>
              <w:rPr>
                <w:rFonts w:ascii="Times New Roman" w:eastAsia="Calibri" w:hAnsi="Times New Roman" w:cs="Times New Roman"/>
                <w:sz w:val="16"/>
                <w:szCs w:val="16"/>
                <w:lang w:val="en-US"/>
              </w:rPr>
              <w:t xml:space="preserve">ion </w:t>
            </w:r>
            <w:r w:rsidR="0024145E">
              <w:rPr>
                <w:rFonts w:ascii="Times New Roman" w:eastAsia="Calibri" w:hAnsi="Times New Roman" w:cs="Times New Roman"/>
                <w:sz w:val="16"/>
                <w:szCs w:val="16"/>
                <w:lang w:val="en-US"/>
              </w:rPr>
              <w:t xml:space="preserve">is </w:t>
            </w:r>
            <w:r>
              <w:rPr>
                <w:rFonts w:ascii="Times New Roman" w:eastAsia="Calibri" w:hAnsi="Times New Roman" w:cs="Times New Roman"/>
                <w:sz w:val="16"/>
                <w:szCs w:val="16"/>
                <w:lang w:val="en-US"/>
              </w:rPr>
              <w:t>performed separately using momentum, trend, volatility, and volume i</w:t>
            </w:r>
            <w:r w:rsidR="00712FAD" w:rsidRPr="00712FAD">
              <w:rPr>
                <w:rFonts w:ascii="Times New Roman" w:eastAsia="Calibri" w:hAnsi="Times New Roman" w:cs="Times New Roman"/>
                <w:sz w:val="16"/>
                <w:szCs w:val="16"/>
                <w:lang w:val="en-US"/>
              </w:rPr>
              <w:t>ndicators</w:t>
            </w:r>
            <w:r w:rsidR="007E785B">
              <w:rPr>
                <w:rFonts w:ascii="Times New Roman" w:eastAsia="Calibri" w:hAnsi="Times New Roman" w:cs="Times New Roman"/>
                <w:sz w:val="16"/>
                <w:szCs w:val="16"/>
                <w:lang w:val="en-US"/>
              </w:rPr>
              <w:t>.</w:t>
            </w:r>
          </w:p>
        </w:tc>
        <w:tc>
          <w:tcPr>
            <w:tcW w:w="2464"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price&gt;0.5% =&gt;Positive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price&lt;=0.5% =&gt;Not Positive Trend</w:t>
            </w:r>
          </w:p>
        </w:tc>
      </w:tr>
    </w:tbl>
    <w:p w:rsidR="00A56CFC" w:rsidRDefault="00A56CFC" w:rsidP="005F4A26">
      <w:pPr>
        <w:pStyle w:val="BodyText"/>
        <w:ind w:firstLine="0"/>
      </w:pPr>
    </w:p>
    <w:p w:rsidR="008A7D74" w:rsidRDefault="008A7D74" w:rsidP="008A7D74">
      <w:pPr>
        <w:pStyle w:val="Heading1"/>
      </w:pPr>
      <w:r w:rsidRPr="00D06866">
        <w:t xml:space="preserve">FINDINGS/DISCUSSION </w:t>
      </w:r>
    </w:p>
    <w:p w:rsidR="008A7D74" w:rsidRPr="00CA407F" w:rsidRDefault="009D7B1D" w:rsidP="008A7D74">
      <w:pPr>
        <w:pStyle w:val="BodyText"/>
      </w:pPr>
      <w:r>
        <w:t>The data e</w:t>
      </w:r>
      <w:r w:rsidR="008A7D74" w:rsidRPr="00CA407F">
        <w:t>valuat</w:t>
      </w:r>
      <w:r>
        <w:t>ion phase is the result of the data m</w:t>
      </w:r>
      <w:r w:rsidR="008A7D74" w:rsidRPr="00CA407F">
        <w:t>od</w:t>
      </w:r>
      <w:r>
        <w:t>elling phase and discusses the m</w:t>
      </w:r>
      <w:r w:rsidR="008A7D74" w:rsidRPr="00CA407F">
        <w:t xml:space="preserve">etrics utilized to determine the extent of </w:t>
      </w:r>
      <w:r w:rsidR="008A7D74">
        <w:t xml:space="preserve">the </w:t>
      </w:r>
      <w:r w:rsidR="008A7D74" w:rsidRPr="00CA407F">
        <w:t>succe</w:t>
      </w:r>
      <w:r>
        <w:t xml:space="preserve">ss achieved </w:t>
      </w:r>
      <w:r w:rsidR="0024145E">
        <w:t>by</w:t>
      </w:r>
      <w:r>
        <w:t xml:space="preserve"> the different modelling algorithms employed on the target v</w:t>
      </w:r>
      <w:r w:rsidR="008A7D74" w:rsidRPr="00CA407F">
        <w:t>ariable.</w:t>
      </w:r>
    </w:p>
    <w:p w:rsidR="008A7D74" w:rsidRDefault="008A7D74" w:rsidP="006709CC">
      <w:pPr>
        <w:pStyle w:val="Heading2"/>
      </w:pPr>
      <w:r>
        <w:t xml:space="preserve"> </w:t>
      </w:r>
      <w:r w:rsidR="009D7B1D">
        <w:t>Model evaluation using logistic regression</w:t>
      </w:r>
      <w:r w:rsidRPr="00323F60">
        <w:t xml:space="preserve"> </w:t>
      </w:r>
      <w:r w:rsidR="009D7B1D">
        <w:t>classifier for go long direction p</w:t>
      </w:r>
      <w:r w:rsidRPr="00323F60">
        <w:t>rediction</w:t>
      </w:r>
    </w:p>
    <w:p w:rsidR="008A7D74" w:rsidRDefault="009D7B1D" w:rsidP="008A7D74">
      <w:pPr>
        <w:pStyle w:val="BodyText"/>
      </w:pPr>
      <w:r>
        <w:t>Various classification m</w:t>
      </w:r>
      <w:r w:rsidR="008A7D74" w:rsidRPr="00DB6D24">
        <w:t xml:space="preserve">odels </w:t>
      </w:r>
      <w:r w:rsidR="008A7D74">
        <w:t>are</w:t>
      </w:r>
      <w:r w:rsidR="008A7D74" w:rsidRPr="00DB6D24">
        <w:t xml:space="preserve"> utilized to predict the direction of the close value of HDFC, KOTAK, and SBI stock and estimate using different error metrics. All the results derived from the various models are examined </w:t>
      </w:r>
      <w:r w:rsidR="00E50997">
        <w:t>below.</w:t>
      </w:r>
    </w:p>
    <w:p w:rsidR="005F4A26" w:rsidRDefault="006F6B23" w:rsidP="005F4A26">
      <w:pPr>
        <w:pStyle w:val="figurecaption"/>
        <w:numPr>
          <w:ilvl w:val="0"/>
          <w:numId w:val="0"/>
        </w:numPr>
        <w:jc w:val="center"/>
      </w:pPr>
      <w:r>
        <w:t>Table</w:t>
      </w:r>
      <w:r w:rsidR="007B4705">
        <w:t xml:space="preserve"> </w:t>
      </w:r>
      <w:r>
        <w:t xml:space="preserve">3. </w:t>
      </w:r>
      <w:r w:rsidR="009D7B1D">
        <w:t>Model evaluation using logistic regression</w:t>
      </w:r>
      <w:r w:rsidR="005F4A26" w:rsidRPr="008A7D74">
        <w:t xml:space="preserve"> </w:t>
      </w:r>
      <w:r w:rsidR="009D7B1D">
        <w:t>c</w:t>
      </w:r>
      <w:r w:rsidR="005F4A26" w:rsidRPr="008A7D74">
        <w:t xml:space="preserve">lassifier </w:t>
      </w:r>
    </w:p>
    <w:tbl>
      <w:tblPr>
        <w:tblStyle w:val="TableGrid"/>
        <w:tblW w:w="5058" w:type="dxa"/>
        <w:jc w:val="center"/>
        <w:tblLayout w:type="fixed"/>
        <w:tblLook w:val="04A0"/>
      </w:tblPr>
      <w:tblGrid>
        <w:gridCol w:w="1548"/>
        <w:gridCol w:w="1170"/>
        <w:gridCol w:w="1170"/>
        <w:gridCol w:w="1170"/>
      </w:tblGrid>
      <w:tr w:rsidR="00494C68" w:rsidRPr="00970546" w:rsidTr="00C67BB8">
        <w:trPr>
          <w:jc w:val="center"/>
        </w:trPr>
        <w:tc>
          <w:tcPr>
            <w:tcW w:w="1548" w:type="dxa"/>
            <w:shd w:val="clear" w:color="auto" w:fill="E7E6E6" w:themeFill="background2"/>
            <w:vAlign w:val="center"/>
          </w:tcPr>
          <w:p w:rsidR="005F4A26" w:rsidRPr="00970546" w:rsidRDefault="009D7B1D" w:rsidP="00504F48">
            <w:pPr>
              <w:pStyle w:val="figurecaption"/>
              <w:numPr>
                <w:ilvl w:val="0"/>
                <w:numId w:val="0"/>
              </w:numPr>
              <w:jc w:val="left"/>
              <w:rPr>
                <w:rFonts w:ascii="Times New Roman" w:hAnsi="Times New Roman" w:cs="Times New Roman"/>
                <w:b/>
              </w:rPr>
            </w:pPr>
            <w:r>
              <w:rPr>
                <w:rFonts w:ascii="Times New Roman" w:hAnsi="Times New Roman" w:cs="Times New Roman"/>
                <w:b/>
              </w:rPr>
              <w:t>Modelling s</w:t>
            </w:r>
            <w:r w:rsidR="005F4A26" w:rsidRPr="00970546">
              <w:rPr>
                <w:rFonts w:ascii="Times New Roman" w:hAnsi="Times New Roman" w:cs="Times New Roman"/>
                <w:b/>
              </w:rPr>
              <w:t>trategies</w:t>
            </w:r>
          </w:p>
        </w:tc>
        <w:tc>
          <w:tcPr>
            <w:tcW w:w="1170" w:type="dxa"/>
            <w:shd w:val="clear" w:color="auto" w:fill="E7E6E6" w:themeFill="background2"/>
            <w:vAlign w:val="center"/>
          </w:tcPr>
          <w:p w:rsidR="005F4A26" w:rsidRPr="00970546" w:rsidRDefault="005F4A26" w:rsidP="00504F48">
            <w:pPr>
              <w:pStyle w:val="figurecaption"/>
              <w:numPr>
                <w:ilvl w:val="0"/>
                <w:numId w:val="0"/>
              </w:numPr>
              <w:jc w:val="left"/>
              <w:rPr>
                <w:rFonts w:ascii="Times New Roman" w:hAnsi="Times New Roman" w:cs="Times New Roman"/>
                <w:b/>
              </w:rPr>
            </w:pPr>
            <w:r w:rsidRPr="00970546">
              <w:rPr>
                <w:rFonts w:ascii="Times New Roman" w:hAnsi="Times New Roman" w:cs="Times New Roman"/>
                <w:b/>
              </w:rPr>
              <w:t>HDFC</w:t>
            </w:r>
          </w:p>
        </w:tc>
        <w:tc>
          <w:tcPr>
            <w:tcW w:w="1170" w:type="dxa"/>
            <w:shd w:val="clear" w:color="auto" w:fill="E7E6E6" w:themeFill="background2"/>
            <w:vAlign w:val="center"/>
          </w:tcPr>
          <w:p w:rsidR="005F4A26" w:rsidRPr="00970546" w:rsidRDefault="005F4A26" w:rsidP="00504F48">
            <w:pPr>
              <w:pStyle w:val="figurecaption"/>
              <w:numPr>
                <w:ilvl w:val="0"/>
                <w:numId w:val="0"/>
              </w:numPr>
              <w:jc w:val="left"/>
              <w:rPr>
                <w:rFonts w:ascii="Times New Roman" w:hAnsi="Times New Roman" w:cs="Times New Roman"/>
                <w:b/>
              </w:rPr>
            </w:pPr>
            <w:r w:rsidRPr="00970546">
              <w:rPr>
                <w:rFonts w:ascii="Times New Roman" w:hAnsi="Times New Roman" w:cs="Times New Roman"/>
                <w:b/>
              </w:rPr>
              <w:t>KOTAK</w:t>
            </w:r>
          </w:p>
        </w:tc>
        <w:tc>
          <w:tcPr>
            <w:tcW w:w="1170" w:type="dxa"/>
            <w:shd w:val="clear" w:color="auto" w:fill="E7E6E6" w:themeFill="background2"/>
            <w:vAlign w:val="center"/>
          </w:tcPr>
          <w:p w:rsidR="005F4A26" w:rsidRPr="00970546" w:rsidRDefault="005F4A26" w:rsidP="00504F48">
            <w:pPr>
              <w:pStyle w:val="figurecaption"/>
              <w:numPr>
                <w:ilvl w:val="0"/>
                <w:numId w:val="0"/>
              </w:numPr>
              <w:jc w:val="left"/>
              <w:rPr>
                <w:rFonts w:ascii="Times New Roman" w:hAnsi="Times New Roman" w:cs="Times New Roman"/>
                <w:b/>
              </w:rPr>
            </w:pPr>
            <w:r w:rsidRPr="00970546">
              <w:rPr>
                <w:rFonts w:ascii="Times New Roman" w:hAnsi="Times New Roman" w:cs="Times New Roman"/>
                <w:b/>
              </w:rPr>
              <w:t>SBI</w:t>
            </w:r>
          </w:p>
        </w:tc>
      </w:tr>
      <w:tr w:rsidR="003E04E6" w:rsidRPr="00970546" w:rsidTr="00C67BB8">
        <w:trPr>
          <w:trHeight w:val="1331"/>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 xml:space="preserve">Direction detection by six, ten, </w:t>
            </w:r>
            <w:r w:rsidR="0024145E">
              <w:rPr>
                <w:rFonts w:ascii="Times New Roman" w:hAnsi="Times New Roman" w:cs="Times New Roman"/>
              </w:rPr>
              <w:t xml:space="preserve">and </w:t>
            </w:r>
            <w:r w:rsidRPr="00504F48">
              <w:rPr>
                <w:rFonts w:ascii="Times New Roman" w:hAnsi="Times New Roman" w:cs="Times New Roman"/>
              </w:rPr>
              <w:t>fourteen days consecutive closing prices split week on week</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precision-0.35</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accuracy-0.35</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precision-0.37</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recall-0.74</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accuracy-0.36</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precision-0.36</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recall-1.00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accuracy-0.36</w:t>
            </w:r>
          </w:p>
        </w:tc>
      </w:tr>
      <w:tr w:rsidR="003E04E6" w:rsidRPr="00970546" w:rsidTr="00C67BB8">
        <w:trPr>
          <w:trHeight w:val="746"/>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volume indicators</w:t>
            </w:r>
          </w:p>
        </w:tc>
        <w:tc>
          <w:tcPr>
            <w:tcW w:w="1170" w:type="dxa"/>
            <w:vAlign w:val="center"/>
          </w:tcPr>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precision-0.98</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recall-0.83</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accuracy-0.92</w:t>
            </w:r>
          </w:p>
        </w:tc>
        <w:tc>
          <w:tcPr>
            <w:tcW w:w="1170" w:type="dxa"/>
            <w:vAlign w:val="center"/>
          </w:tcPr>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precision-0.99</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recall-0.93</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accuracy-0.97</w:t>
            </w:r>
          </w:p>
        </w:tc>
        <w:tc>
          <w:tcPr>
            <w:tcW w:w="1170" w:type="dxa"/>
            <w:vAlign w:val="center"/>
          </w:tcPr>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precision-0.92</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recall-0.80</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accuracy-0.90</w:t>
            </w:r>
          </w:p>
        </w:tc>
      </w:tr>
      <w:tr w:rsidR="003E04E6" w:rsidRPr="00970546" w:rsidTr="00C67BB8">
        <w:trPr>
          <w:trHeight w:val="908"/>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momentum indicators</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precision-0.71</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accuracy-0.76</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recall-0.61</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accuracy-0.75</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precision-0.69</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recall-0.62</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r>
      <w:tr w:rsidR="003E04E6" w:rsidRPr="00970546" w:rsidTr="00C67BB8">
        <w:trPr>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trend indicators</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recall-0.59</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accuracy-0.80</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precision-0.76</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recall-0.48</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accuracy-0.72</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precision-0.78</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recall-0.49</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r>
      <w:tr w:rsidR="003E04E6" w:rsidRPr="00970546" w:rsidTr="00C67BB8">
        <w:trPr>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volatility indicators</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precision-0.93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recall-0.47</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accuracy-0.77</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precision-0.90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precision-0.81</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recall-0.30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accuracy-0.70</w:t>
            </w:r>
          </w:p>
        </w:tc>
      </w:tr>
    </w:tbl>
    <w:p w:rsidR="0030705A" w:rsidRDefault="0030705A" w:rsidP="0030705A">
      <w:pPr>
        <w:pStyle w:val="BodyText"/>
        <w:ind w:firstLine="0"/>
      </w:pPr>
    </w:p>
    <w:p w:rsidR="003D5A39" w:rsidRDefault="0030705A" w:rsidP="00E50997">
      <w:pPr>
        <w:pStyle w:val="BodyText"/>
        <w:ind w:firstLine="0"/>
      </w:pPr>
      <w:r w:rsidRPr="008A7D74">
        <w:lastRenderedPageBreak/>
        <w:t>From Table</w:t>
      </w:r>
      <w:r w:rsidR="00C914FB">
        <w:t xml:space="preserve"> </w:t>
      </w:r>
      <w:r w:rsidR="00A8265D">
        <w:t xml:space="preserve">3, it </w:t>
      </w:r>
      <w:r w:rsidR="00E46579">
        <w:t>is</w:t>
      </w:r>
      <w:r w:rsidR="00A8265D">
        <w:t xml:space="preserve"> observed that go long d</w:t>
      </w:r>
      <w:r w:rsidRPr="008A7D74">
        <w:t xml:space="preserve">irection </w:t>
      </w:r>
      <w:r w:rsidR="00A8265D">
        <w:t>p</w:t>
      </w:r>
      <w:r w:rsidRPr="008A7D74">
        <w:t>re</w:t>
      </w:r>
      <w:r w:rsidR="00A8265D">
        <w:t>diction using v</w:t>
      </w:r>
      <w:r w:rsidR="009D7B1D">
        <w:t>olume i</w:t>
      </w:r>
      <w:r w:rsidRPr="008A7D74">
        <w:t>ndicators has given considerable precision, recall, and accuracy in direction prediction.</w:t>
      </w:r>
    </w:p>
    <w:p w:rsidR="003D5A39" w:rsidRDefault="009D7B1D" w:rsidP="003D5A39">
      <w:pPr>
        <w:pStyle w:val="Heading2"/>
      </w:pPr>
      <w:r>
        <w:t>Model Evaluation using random forest</w:t>
      </w:r>
      <w:r w:rsidR="003D5A39" w:rsidRPr="00BA72F9">
        <w:t xml:space="preserve"> </w:t>
      </w:r>
      <w:r>
        <w:t>classifier for go long direction p</w:t>
      </w:r>
      <w:r w:rsidR="003D5A39" w:rsidRPr="00BA72F9">
        <w:t>rediction:</w:t>
      </w:r>
    </w:p>
    <w:p w:rsidR="0014015D" w:rsidRPr="00BA72F9" w:rsidRDefault="00250BE4" w:rsidP="0014015D">
      <w:pPr>
        <w:rPr>
          <w:noProof/>
          <w:sz w:val="16"/>
          <w:szCs w:val="16"/>
        </w:rPr>
      </w:pPr>
      <w:r>
        <w:rPr>
          <w:noProof/>
          <w:sz w:val="16"/>
          <w:szCs w:val="16"/>
        </w:rPr>
        <w:t>Table</w:t>
      </w:r>
      <w:r w:rsidR="006F6B23">
        <w:rPr>
          <w:noProof/>
          <w:sz w:val="16"/>
          <w:szCs w:val="16"/>
        </w:rPr>
        <w:t xml:space="preserve"> 4. M</w:t>
      </w:r>
      <w:r w:rsidR="009D7B1D">
        <w:rPr>
          <w:noProof/>
          <w:sz w:val="16"/>
          <w:szCs w:val="16"/>
        </w:rPr>
        <w:t>odel evaluation using random forest c</w:t>
      </w:r>
      <w:r w:rsidRPr="00BA72F9">
        <w:rPr>
          <w:noProof/>
          <w:sz w:val="16"/>
          <w:szCs w:val="16"/>
        </w:rPr>
        <w:t xml:space="preserve">lassifier </w:t>
      </w:r>
    </w:p>
    <w:p w:rsidR="00250BE4" w:rsidRPr="00250BE4" w:rsidRDefault="00250BE4" w:rsidP="00250BE4">
      <w:pPr>
        <w:jc w:val="both"/>
      </w:pPr>
    </w:p>
    <w:tbl>
      <w:tblPr>
        <w:tblStyle w:val="TableGrid"/>
        <w:tblW w:w="4878" w:type="dxa"/>
        <w:jc w:val="center"/>
        <w:tblInd w:w="5760" w:type="dxa"/>
        <w:tblLook w:val="04A0"/>
      </w:tblPr>
      <w:tblGrid>
        <w:gridCol w:w="1476"/>
        <w:gridCol w:w="1134"/>
        <w:gridCol w:w="1134"/>
        <w:gridCol w:w="1134"/>
      </w:tblGrid>
      <w:tr w:rsidR="004827B8" w:rsidTr="004827B8">
        <w:trPr>
          <w:trHeight w:val="294"/>
          <w:jc w:val="center"/>
        </w:trPr>
        <w:tc>
          <w:tcPr>
            <w:tcW w:w="1476" w:type="dxa"/>
            <w:shd w:val="clear" w:color="auto" w:fill="E7E6E6" w:themeFill="background2"/>
            <w:vAlign w:val="center"/>
          </w:tcPr>
          <w:p w:rsidR="004827B8" w:rsidRPr="004E188B" w:rsidRDefault="004827B8" w:rsidP="004E188B">
            <w:pPr>
              <w:jc w:val="left"/>
              <w:rPr>
                <w:rFonts w:ascii="Times New Roman" w:hAnsi="Times New Roman" w:cs="Times New Roman"/>
                <w:b/>
                <w:bCs/>
                <w:color w:val="000000"/>
                <w:sz w:val="16"/>
                <w:szCs w:val="16"/>
                <w:lang w:val="en-US"/>
              </w:rPr>
            </w:pPr>
            <w:r w:rsidRPr="004E188B">
              <w:rPr>
                <w:rFonts w:ascii="Times New Roman" w:hAnsi="Times New Roman" w:cs="Times New Roman"/>
                <w:b/>
                <w:bCs/>
                <w:color w:val="000000"/>
                <w:sz w:val="16"/>
                <w:szCs w:val="16"/>
                <w:lang w:val="en-US"/>
              </w:rPr>
              <w:t>Modelling Strategies</w:t>
            </w:r>
          </w:p>
          <w:p w:rsidR="004827B8" w:rsidRPr="004E188B" w:rsidRDefault="004827B8" w:rsidP="004E188B">
            <w:pPr>
              <w:jc w:val="left"/>
              <w:rPr>
                <w:rFonts w:ascii="Times New Roman" w:hAnsi="Times New Roman" w:cs="Times New Roman"/>
                <w:b/>
                <w:bCs/>
                <w:sz w:val="16"/>
                <w:szCs w:val="16"/>
              </w:rPr>
            </w:pPr>
          </w:p>
        </w:tc>
        <w:tc>
          <w:tcPr>
            <w:tcW w:w="1134" w:type="dxa"/>
            <w:shd w:val="clear" w:color="auto" w:fill="E7E6E6" w:themeFill="background2"/>
            <w:vAlign w:val="center"/>
          </w:tcPr>
          <w:p w:rsidR="004827B8" w:rsidRPr="004E188B" w:rsidRDefault="004827B8" w:rsidP="004E188B">
            <w:pPr>
              <w:jc w:val="left"/>
              <w:rPr>
                <w:rFonts w:ascii="Times New Roman" w:hAnsi="Times New Roman" w:cs="Times New Roman"/>
                <w:b/>
                <w:bCs/>
                <w:sz w:val="16"/>
                <w:szCs w:val="16"/>
              </w:rPr>
            </w:pPr>
            <w:r w:rsidRPr="004E188B">
              <w:rPr>
                <w:rFonts w:ascii="Times New Roman" w:hAnsi="Times New Roman" w:cs="Times New Roman"/>
                <w:b/>
                <w:bCs/>
                <w:sz w:val="16"/>
                <w:szCs w:val="16"/>
              </w:rPr>
              <w:t>HDFC</w:t>
            </w:r>
          </w:p>
        </w:tc>
        <w:tc>
          <w:tcPr>
            <w:tcW w:w="1134" w:type="dxa"/>
            <w:shd w:val="clear" w:color="auto" w:fill="E7E6E6" w:themeFill="background2"/>
            <w:vAlign w:val="center"/>
          </w:tcPr>
          <w:p w:rsidR="004827B8" w:rsidRPr="004E188B" w:rsidRDefault="004827B8" w:rsidP="004E188B">
            <w:pPr>
              <w:jc w:val="left"/>
              <w:rPr>
                <w:rFonts w:ascii="Times New Roman" w:hAnsi="Times New Roman" w:cs="Times New Roman"/>
                <w:b/>
                <w:bCs/>
                <w:sz w:val="16"/>
                <w:szCs w:val="16"/>
              </w:rPr>
            </w:pPr>
            <w:r w:rsidRPr="004E188B">
              <w:rPr>
                <w:rFonts w:ascii="Times New Roman" w:hAnsi="Times New Roman" w:cs="Times New Roman"/>
                <w:b/>
                <w:bCs/>
                <w:sz w:val="16"/>
                <w:szCs w:val="16"/>
              </w:rPr>
              <w:t>KOTAK</w:t>
            </w:r>
          </w:p>
        </w:tc>
        <w:tc>
          <w:tcPr>
            <w:tcW w:w="1134" w:type="dxa"/>
            <w:shd w:val="clear" w:color="auto" w:fill="E7E6E6" w:themeFill="background2"/>
            <w:vAlign w:val="center"/>
          </w:tcPr>
          <w:p w:rsidR="004827B8" w:rsidRPr="004E188B" w:rsidRDefault="004827B8" w:rsidP="004E188B">
            <w:pPr>
              <w:jc w:val="left"/>
              <w:rPr>
                <w:rFonts w:ascii="Times New Roman" w:hAnsi="Times New Roman" w:cs="Times New Roman"/>
                <w:b/>
                <w:bCs/>
                <w:sz w:val="16"/>
                <w:szCs w:val="16"/>
              </w:rPr>
            </w:pPr>
            <w:r w:rsidRPr="004E188B">
              <w:rPr>
                <w:rFonts w:ascii="Times New Roman" w:hAnsi="Times New Roman" w:cs="Times New Roman"/>
                <w:b/>
                <w:bCs/>
                <w:sz w:val="16"/>
                <w:szCs w:val="16"/>
              </w:rPr>
              <w:t>SBI</w:t>
            </w:r>
          </w:p>
        </w:tc>
      </w:tr>
      <w:tr w:rsidR="004827B8" w:rsidTr="004827B8">
        <w:trPr>
          <w:trHeight w:val="720"/>
          <w:jc w:val="center"/>
        </w:trPr>
        <w:tc>
          <w:tcPr>
            <w:tcW w:w="1476" w:type="dxa"/>
            <w:vAlign w:val="center"/>
          </w:tcPr>
          <w:p w:rsidR="004827B8" w:rsidRPr="004E188B" w:rsidRDefault="004827B8" w:rsidP="004E188B">
            <w:pPr>
              <w:jc w:val="left"/>
              <w:rPr>
                <w:rFonts w:ascii="Times New Roman" w:hAnsi="Times New Roman" w:cs="Times New Roman"/>
                <w:sz w:val="16"/>
                <w:szCs w:val="16"/>
              </w:rPr>
            </w:pPr>
            <w:r w:rsidRPr="004E188B">
              <w:rPr>
                <w:rFonts w:ascii="Times New Roman" w:hAnsi="Times New Roman" w:cs="Times New Roman"/>
                <w:sz w:val="16"/>
                <w:szCs w:val="16"/>
              </w:rPr>
              <w:t xml:space="preserve">Direction detection by six, ten, </w:t>
            </w:r>
            <w:r w:rsidR="0024145E">
              <w:rPr>
                <w:rFonts w:ascii="Times New Roman" w:hAnsi="Times New Roman" w:cs="Times New Roman"/>
                <w:sz w:val="16"/>
                <w:szCs w:val="16"/>
              </w:rPr>
              <w:t xml:space="preserve">and </w:t>
            </w:r>
            <w:r w:rsidRPr="004E188B">
              <w:rPr>
                <w:rFonts w:ascii="Times New Roman" w:hAnsi="Times New Roman" w:cs="Times New Roman"/>
                <w:sz w:val="16"/>
                <w:szCs w:val="16"/>
              </w:rPr>
              <w:t>fourteen days consecutive closing prices split week on the week</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precision-0.85</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recall-0.89</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accuracy-0.87</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precision-0.71</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recall-0.79</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accuracy-0.74</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precision-0.83</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recall-0.88</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accuracy-0.85</w:t>
            </w:r>
          </w:p>
        </w:tc>
      </w:tr>
      <w:tr w:rsidR="004827B8" w:rsidTr="004827B8">
        <w:trPr>
          <w:trHeight w:val="428"/>
          <w:jc w:val="center"/>
        </w:trPr>
        <w:tc>
          <w:tcPr>
            <w:tcW w:w="1476" w:type="dxa"/>
            <w:vAlign w:val="center"/>
          </w:tcPr>
          <w:p w:rsidR="004827B8" w:rsidRPr="004E188B" w:rsidRDefault="004827B8" w:rsidP="004E188B">
            <w:pPr>
              <w:jc w:val="left"/>
              <w:rPr>
                <w:rFonts w:ascii="Times New Roman" w:hAnsi="Times New Roman" w:cs="Times New Roman"/>
                <w:sz w:val="16"/>
                <w:szCs w:val="16"/>
              </w:rPr>
            </w:pPr>
            <w:r w:rsidRPr="004E188B">
              <w:rPr>
                <w:rFonts w:ascii="Times New Roman" w:hAnsi="Times New Roman" w:cs="Times New Roman"/>
                <w:sz w:val="16"/>
                <w:szCs w:val="16"/>
              </w:rPr>
              <w:t>Go long direction prediction using volume Indicators</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precision-0.91</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recall-0.82</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accuracy-0.90</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precision-0.92</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recall-0.79</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accuracy-0.89</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precision-0.90</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recall-0.73</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accuracy-0.86</w:t>
            </w:r>
          </w:p>
        </w:tc>
      </w:tr>
      <w:tr w:rsidR="004827B8" w:rsidTr="004827B8">
        <w:trPr>
          <w:trHeight w:val="439"/>
          <w:jc w:val="center"/>
        </w:trPr>
        <w:tc>
          <w:tcPr>
            <w:tcW w:w="1476" w:type="dxa"/>
            <w:vAlign w:val="center"/>
          </w:tcPr>
          <w:p w:rsidR="004827B8" w:rsidRPr="004E188B" w:rsidRDefault="004827B8" w:rsidP="004E188B">
            <w:pPr>
              <w:jc w:val="left"/>
              <w:rPr>
                <w:rFonts w:ascii="Times New Roman" w:hAnsi="Times New Roman" w:cs="Times New Roman"/>
                <w:sz w:val="16"/>
                <w:szCs w:val="16"/>
              </w:rPr>
            </w:pPr>
            <w:r w:rsidRPr="004E188B">
              <w:rPr>
                <w:rFonts w:ascii="Times New Roman" w:hAnsi="Times New Roman" w:cs="Times New Roman"/>
                <w:sz w:val="16"/>
                <w:szCs w:val="16"/>
              </w:rPr>
              <w:t>Go long direction prediction using momentum indicators</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precision-0.76</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recall-0.51</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accuracy-0.75</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precision-0.79</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recall-0.46</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accuracy-0.74</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precision-0.72</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recall-0.55</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accuracy-0.74</w:t>
            </w:r>
          </w:p>
        </w:tc>
      </w:tr>
      <w:tr w:rsidR="004827B8" w:rsidTr="004827B8">
        <w:trPr>
          <w:trHeight w:val="439"/>
          <w:jc w:val="center"/>
        </w:trPr>
        <w:tc>
          <w:tcPr>
            <w:tcW w:w="1476"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rPr>
              <w:t xml:space="preserve">Go long direction prediction using trend indicators </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precision-0.87</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recall-0.56</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accuracy-0.80</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precision-0.87</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recall-0.55</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accuracy-0.79</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precision-0.83</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recall-0.57</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accuracy-0.78</w:t>
            </w:r>
          </w:p>
        </w:tc>
      </w:tr>
      <w:tr w:rsidR="004827B8" w:rsidTr="004827B8">
        <w:trPr>
          <w:trHeight w:val="453"/>
          <w:jc w:val="center"/>
        </w:trPr>
        <w:tc>
          <w:tcPr>
            <w:tcW w:w="1476"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rPr>
              <w:t xml:space="preserve">Go long direction prediction using volatility indicators </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precision-0.89</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recall-0.50</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accuracy-0.77</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precision-0.89</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recall-0.50</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accuracy-0.78</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precision-0.83</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recall-0.61</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accuracy-0.80</w:t>
            </w:r>
          </w:p>
        </w:tc>
      </w:tr>
    </w:tbl>
    <w:p w:rsidR="003D5A39" w:rsidRDefault="003D5A39" w:rsidP="00E50997">
      <w:pPr>
        <w:pStyle w:val="figurecaption"/>
        <w:numPr>
          <w:ilvl w:val="0"/>
          <w:numId w:val="0"/>
        </w:numPr>
      </w:pPr>
    </w:p>
    <w:p w:rsidR="0014015D" w:rsidRDefault="0014015D" w:rsidP="0014015D">
      <w:pPr>
        <w:pStyle w:val="figurecaption"/>
        <w:numPr>
          <w:ilvl w:val="0"/>
          <w:numId w:val="0"/>
        </w:numPr>
        <w:rPr>
          <w:sz w:val="20"/>
          <w:szCs w:val="20"/>
        </w:rPr>
      </w:pPr>
      <w:r w:rsidRPr="0014015D">
        <w:rPr>
          <w:sz w:val="20"/>
          <w:szCs w:val="20"/>
        </w:rPr>
        <w:t>From Ta</w:t>
      </w:r>
      <w:r w:rsidR="009D7B1D">
        <w:rPr>
          <w:sz w:val="20"/>
          <w:szCs w:val="20"/>
        </w:rPr>
        <w:t xml:space="preserve">ble 4, it </w:t>
      </w:r>
      <w:r w:rsidR="00E46579">
        <w:rPr>
          <w:sz w:val="20"/>
          <w:szCs w:val="20"/>
        </w:rPr>
        <w:t>is</w:t>
      </w:r>
      <w:r w:rsidR="009D7B1D">
        <w:rPr>
          <w:sz w:val="20"/>
          <w:szCs w:val="20"/>
        </w:rPr>
        <w:t xml:space="preserve"> observed that direction d</w:t>
      </w:r>
      <w:r w:rsidRPr="0014015D">
        <w:rPr>
          <w:sz w:val="20"/>
          <w:szCs w:val="20"/>
        </w:rPr>
        <w:t>etection has given the highest precision, accuracy, a</w:t>
      </w:r>
      <w:r w:rsidR="003106E8">
        <w:rPr>
          <w:sz w:val="20"/>
          <w:szCs w:val="20"/>
        </w:rPr>
        <w:t>nd recall in prediction. Also, go long d</w:t>
      </w:r>
      <w:r w:rsidRPr="0014015D">
        <w:rPr>
          <w:sz w:val="20"/>
          <w:szCs w:val="20"/>
        </w:rPr>
        <w:t xml:space="preserve">irection </w:t>
      </w:r>
      <w:r w:rsidR="003106E8">
        <w:rPr>
          <w:sz w:val="20"/>
          <w:szCs w:val="20"/>
        </w:rPr>
        <w:t>prediction using volume i</w:t>
      </w:r>
      <w:r w:rsidRPr="0014015D">
        <w:rPr>
          <w:sz w:val="20"/>
          <w:szCs w:val="20"/>
        </w:rPr>
        <w:t>ndicators has given considerable precision and accuracy in direction prediction but recall can still be improved.</w:t>
      </w:r>
    </w:p>
    <w:p w:rsidR="0014015D" w:rsidRDefault="003106E8" w:rsidP="0014015D">
      <w:pPr>
        <w:pStyle w:val="Heading2"/>
      </w:pPr>
      <w:r>
        <w:t>Model evaluation using extreme gradient boost classifier for go long d</w:t>
      </w:r>
      <w:r w:rsidR="0014015D" w:rsidRPr="00BA72F9">
        <w:t>irectio</w:t>
      </w:r>
      <w:r>
        <w:t>n p</w:t>
      </w:r>
      <w:r w:rsidR="0014015D" w:rsidRPr="00BA72F9">
        <w:t>rediction</w:t>
      </w:r>
    </w:p>
    <w:p w:rsidR="0014015D" w:rsidRDefault="0014015D" w:rsidP="0014015D">
      <w:pPr>
        <w:ind w:left="720"/>
        <w:rPr>
          <w:noProof/>
          <w:sz w:val="16"/>
          <w:szCs w:val="16"/>
        </w:rPr>
      </w:pPr>
    </w:p>
    <w:p w:rsidR="0014015D" w:rsidRDefault="006F6B23" w:rsidP="0014015D">
      <w:pPr>
        <w:rPr>
          <w:noProof/>
          <w:sz w:val="16"/>
          <w:szCs w:val="16"/>
        </w:rPr>
      </w:pPr>
      <w:r>
        <w:rPr>
          <w:noProof/>
          <w:sz w:val="16"/>
          <w:szCs w:val="16"/>
        </w:rPr>
        <w:t>Table</w:t>
      </w:r>
      <w:r w:rsidR="007B4705">
        <w:rPr>
          <w:noProof/>
          <w:sz w:val="16"/>
          <w:szCs w:val="16"/>
        </w:rPr>
        <w:t xml:space="preserve"> </w:t>
      </w:r>
      <w:r>
        <w:rPr>
          <w:noProof/>
          <w:sz w:val="16"/>
          <w:szCs w:val="16"/>
        </w:rPr>
        <w:t xml:space="preserve">5. </w:t>
      </w:r>
      <w:r w:rsidR="003106E8">
        <w:rPr>
          <w:noProof/>
          <w:sz w:val="16"/>
          <w:szCs w:val="16"/>
        </w:rPr>
        <w:t>Model e</w:t>
      </w:r>
      <w:r w:rsidR="0014015D" w:rsidRPr="00B750E5">
        <w:rPr>
          <w:noProof/>
          <w:sz w:val="16"/>
          <w:szCs w:val="16"/>
        </w:rPr>
        <w:t xml:space="preserve">valuation using </w:t>
      </w:r>
      <w:r w:rsidR="003106E8">
        <w:rPr>
          <w:noProof/>
          <w:sz w:val="16"/>
          <w:szCs w:val="16"/>
        </w:rPr>
        <w:t>extreme gradient</w:t>
      </w:r>
      <w:r w:rsidR="0014015D" w:rsidRPr="00B750E5">
        <w:rPr>
          <w:noProof/>
          <w:sz w:val="16"/>
          <w:szCs w:val="16"/>
        </w:rPr>
        <w:t xml:space="preserve"> </w:t>
      </w:r>
      <w:r w:rsidR="003106E8">
        <w:rPr>
          <w:noProof/>
          <w:sz w:val="16"/>
          <w:szCs w:val="16"/>
        </w:rPr>
        <w:t>boost c</w:t>
      </w:r>
      <w:r w:rsidR="0014015D" w:rsidRPr="00B750E5">
        <w:rPr>
          <w:noProof/>
          <w:sz w:val="16"/>
          <w:szCs w:val="16"/>
        </w:rPr>
        <w:t>lassifier</w:t>
      </w:r>
    </w:p>
    <w:p w:rsidR="0014015D" w:rsidRDefault="0014015D" w:rsidP="0014015D">
      <w:pPr>
        <w:rPr>
          <w:noProof/>
          <w:sz w:val="16"/>
          <w:szCs w:val="16"/>
        </w:rPr>
      </w:pPr>
    </w:p>
    <w:tbl>
      <w:tblPr>
        <w:tblStyle w:val="TableGrid"/>
        <w:tblW w:w="5058" w:type="dxa"/>
        <w:jc w:val="center"/>
        <w:tblLayout w:type="fixed"/>
        <w:tblLook w:val="04A0"/>
      </w:tblPr>
      <w:tblGrid>
        <w:gridCol w:w="1548"/>
        <w:gridCol w:w="1170"/>
        <w:gridCol w:w="1170"/>
        <w:gridCol w:w="1170"/>
      </w:tblGrid>
      <w:tr w:rsidR="003106E8" w:rsidTr="00C67BB8">
        <w:trPr>
          <w:jc w:val="center"/>
        </w:trPr>
        <w:tc>
          <w:tcPr>
            <w:tcW w:w="1548" w:type="dxa"/>
            <w:shd w:val="clear" w:color="auto" w:fill="E7E6E6" w:themeFill="background2"/>
            <w:vAlign w:val="center"/>
          </w:tcPr>
          <w:p w:rsidR="0014015D" w:rsidRPr="00B72025" w:rsidRDefault="003106E8" w:rsidP="00B72025">
            <w:pPr>
              <w:jc w:val="left"/>
              <w:rPr>
                <w:rFonts w:ascii="Times New Roman" w:hAnsi="Times New Roman" w:cs="Times New Roman"/>
                <w:b/>
                <w:bCs/>
                <w:color w:val="000000"/>
                <w:sz w:val="16"/>
                <w:szCs w:val="16"/>
                <w:lang w:val="en-US"/>
              </w:rPr>
            </w:pPr>
            <w:r>
              <w:rPr>
                <w:rFonts w:ascii="Times New Roman" w:hAnsi="Times New Roman" w:cs="Times New Roman"/>
                <w:b/>
                <w:bCs/>
                <w:color w:val="000000"/>
                <w:sz w:val="16"/>
                <w:szCs w:val="16"/>
                <w:lang w:val="en-US"/>
              </w:rPr>
              <w:t>Modelling s</w:t>
            </w:r>
            <w:r w:rsidR="0014015D" w:rsidRPr="00B72025">
              <w:rPr>
                <w:rFonts w:ascii="Times New Roman" w:hAnsi="Times New Roman" w:cs="Times New Roman"/>
                <w:b/>
                <w:bCs/>
                <w:color w:val="000000"/>
                <w:sz w:val="16"/>
                <w:szCs w:val="16"/>
                <w:lang w:val="en-US"/>
              </w:rPr>
              <w:t>trategies</w:t>
            </w:r>
          </w:p>
          <w:p w:rsidR="0014015D" w:rsidRPr="00B72025" w:rsidRDefault="0014015D" w:rsidP="00B72025">
            <w:pPr>
              <w:jc w:val="left"/>
              <w:rPr>
                <w:rFonts w:ascii="Times New Roman" w:hAnsi="Times New Roman" w:cs="Times New Roman"/>
                <w:b/>
                <w:bCs/>
                <w:sz w:val="16"/>
                <w:szCs w:val="16"/>
              </w:rPr>
            </w:pPr>
          </w:p>
        </w:tc>
        <w:tc>
          <w:tcPr>
            <w:tcW w:w="1170" w:type="dxa"/>
            <w:shd w:val="clear" w:color="auto" w:fill="E7E6E6" w:themeFill="background2"/>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170" w:type="dxa"/>
            <w:shd w:val="clear" w:color="auto" w:fill="E7E6E6" w:themeFill="background2"/>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170" w:type="dxa"/>
            <w:shd w:val="clear" w:color="auto" w:fill="E7E6E6" w:themeFill="background2"/>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SBI</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rPr>
            </w:pPr>
            <w:r w:rsidRPr="00504F48">
              <w:rPr>
                <w:rFonts w:ascii="Times New Roman" w:hAnsi="Times New Roman" w:cs="Times New Roman"/>
                <w:sz w:val="16"/>
                <w:szCs w:val="16"/>
              </w:rPr>
              <w:t xml:space="preserve">Direction detection by six, ten, </w:t>
            </w:r>
            <w:r w:rsidR="0024145E">
              <w:rPr>
                <w:rFonts w:ascii="Times New Roman" w:hAnsi="Times New Roman" w:cs="Times New Roman"/>
                <w:sz w:val="16"/>
                <w:szCs w:val="16"/>
              </w:rPr>
              <w:t xml:space="preserve">and </w:t>
            </w:r>
            <w:r w:rsidRPr="00504F48">
              <w:rPr>
                <w:rFonts w:ascii="Times New Roman" w:hAnsi="Times New Roman" w:cs="Times New Roman"/>
                <w:sz w:val="16"/>
                <w:szCs w:val="16"/>
              </w:rPr>
              <w:t>fourteen days consecutive closing prices split week on the week</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recall-0.42</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accuracy-0.40</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precision-0.38</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accuracy-0.40</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precision-0.38</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recall-0.47</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accuracy-0.37</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rPr>
            </w:pPr>
            <w:r w:rsidRPr="00504F48">
              <w:rPr>
                <w:rFonts w:ascii="Times New Roman" w:hAnsi="Times New Roman" w:cs="Times New Roman"/>
                <w:sz w:val="16"/>
                <w:szCs w:val="16"/>
              </w:rPr>
              <w:t>Go long direction prediction using volume indicators</w:t>
            </w:r>
          </w:p>
        </w:tc>
        <w:tc>
          <w:tcPr>
            <w:tcW w:w="1170" w:type="dxa"/>
            <w:vAlign w:val="center"/>
          </w:tcPr>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precision-0.90</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recall-0.73</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accuracy-0.86</w:t>
            </w:r>
          </w:p>
        </w:tc>
        <w:tc>
          <w:tcPr>
            <w:tcW w:w="1170" w:type="dxa"/>
            <w:vAlign w:val="center"/>
          </w:tcPr>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precision-0.92</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recall-0.90</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accuracy-0.93</w:t>
            </w:r>
          </w:p>
        </w:tc>
        <w:tc>
          <w:tcPr>
            <w:tcW w:w="1170" w:type="dxa"/>
            <w:vAlign w:val="center"/>
          </w:tcPr>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precision-0.88</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recall-0.82</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accuracy-0.89</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rPr>
            </w:pPr>
            <w:r w:rsidRPr="00504F48">
              <w:rPr>
                <w:rFonts w:ascii="Times New Roman" w:hAnsi="Times New Roman" w:cs="Times New Roman"/>
                <w:sz w:val="16"/>
                <w:szCs w:val="16"/>
              </w:rPr>
              <w:t>Go long direction prediction using momentum indicators</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precision-0.70</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accuracy-0.75</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recall-0.62</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accuracy-0.77</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precision-0.70</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recall-0.59</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rPr>
              <w:t xml:space="preserve">Go long direction prediction using trend indicators </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recall-0.74</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accuracy-0.85</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precision-0.82</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accuracy-0.79</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precision-0.83</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recall-0.67</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accuracy-0.81</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rPr>
              <w:t xml:space="preserve">Go long direction prediction using volatility indicators </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precision-0.86</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recall-0.75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accuracy-0.85</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recall-0.63</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accuracy-0.79</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precision-0.80</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recall-0.67</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accuracy-0.81</w:t>
            </w:r>
          </w:p>
        </w:tc>
      </w:tr>
    </w:tbl>
    <w:p w:rsidR="0014015D" w:rsidRPr="0014015D" w:rsidRDefault="0014015D" w:rsidP="00B72025">
      <w:pPr>
        <w:pStyle w:val="figurecaption"/>
        <w:numPr>
          <w:ilvl w:val="0"/>
          <w:numId w:val="0"/>
        </w:numPr>
        <w:rPr>
          <w:sz w:val="20"/>
          <w:szCs w:val="20"/>
        </w:rPr>
      </w:pPr>
    </w:p>
    <w:p w:rsidR="00B72025" w:rsidRDefault="00E46579" w:rsidP="00B72025">
      <w:pPr>
        <w:pStyle w:val="BodyText"/>
        <w:ind w:firstLine="0"/>
      </w:pPr>
      <w:r>
        <w:lastRenderedPageBreak/>
        <w:t>From t</w:t>
      </w:r>
      <w:r w:rsidR="00B72025" w:rsidRPr="00B72025">
        <w:t xml:space="preserve">able 5, it </w:t>
      </w:r>
      <w:r w:rsidR="00AA39AE">
        <w:t>is observed that g</w:t>
      </w:r>
      <w:r w:rsidR="00EB7529">
        <w:t>o long direction p</w:t>
      </w:r>
      <w:r>
        <w:t>rediction using volume i</w:t>
      </w:r>
      <w:r w:rsidR="00B72025" w:rsidRPr="00B72025">
        <w:t>ndicators has given considerable precision, recall, and accuracy in direction prediction.</w:t>
      </w:r>
    </w:p>
    <w:p w:rsidR="00B72025" w:rsidRDefault="00AA39AE" w:rsidP="00B72025">
      <w:pPr>
        <w:pStyle w:val="Heading2"/>
      </w:pPr>
      <w:r>
        <w:t>Direction detection and go long direction p</w:t>
      </w:r>
      <w:r w:rsidR="00B72025" w:rsidRPr="004E509E">
        <w:t>rediction using the best classifier model</w:t>
      </w:r>
    </w:p>
    <w:p w:rsidR="00B72025" w:rsidRPr="00B72025" w:rsidRDefault="00B72025" w:rsidP="00B72025"/>
    <w:p w:rsidR="00B72025" w:rsidRDefault="00B72025" w:rsidP="00B72025">
      <w:pPr>
        <w:rPr>
          <w:noProof/>
          <w:sz w:val="16"/>
          <w:szCs w:val="16"/>
        </w:rPr>
      </w:pPr>
      <w:r w:rsidRPr="00A578FF">
        <w:rPr>
          <w:noProof/>
          <w:sz w:val="16"/>
          <w:szCs w:val="16"/>
        </w:rPr>
        <w:t>Table</w:t>
      </w:r>
      <w:r w:rsidR="007B4705">
        <w:rPr>
          <w:noProof/>
          <w:sz w:val="16"/>
          <w:szCs w:val="16"/>
        </w:rPr>
        <w:t xml:space="preserve"> </w:t>
      </w:r>
      <w:r>
        <w:rPr>
          <w:noProof/>
          <w:sz w:val="16"/>
          <w:szCs w:val="16"/>
        </w:rPr>
        <w:t xml:space="preserve">6. </w:t>
      </w:r>
      <w:r w:rsidR="006F6B23">
        <w:rPr>
          <w:noProof/>
          <w:sz w:val="16"/>
          <w:szCs w:val="16"/>
        </w:rPr>
        <w:t xml:space="preserve">Leader board </w:t>
      </w:r>
      <w:r w:rsidR="00AA39AE">
        <w:rPr>
          <w:noProof/>
          <w:sz w:val="16"/>
          <w:szCs w:val="16"/>
        </w:rPr>
        <w:t>comparison of m</w:t>
      </w:r>
      <w:r w:rsidRPr="004E509E">
        <w:rPr>
          <w:noProof/>
          <w:sz w:val="16"/>
          <w:szCs w:val="16"/>
        </w:rPr>
        <w:t xml:space="preserve">etrics for </w:t>
      </w:r>
      <w:r w:rsidR="00AA39AE">
        <w:rPr>
          <w:noProof/>
          <w:sz w:val="16"/>
          <w:szCs w:val="16"/>
        </w:rPr>
        <w:t>direction detection and go l</w:t>
      </w:r>
      <w:r w:rsidRPr="004E509E">
        <w:rPr>
          <w:noProof/>
          <w:sz w:val="16"/>
          <w:szCs w:val="16"/>
        </w:rPr>
        <w:t xml:space="preserve">ong </w:t>
      </w:r>
      <w:r w:rsidR="00AA39AE">
        <w:rPr>
          <w:noProof/>
          <w:sz w:val="16"/>
          <w:szCs w:val="16"/>
        </w:rPr>
        <w:t>d</w:t>
      </w:r>
      <w:r w:rsidRPr="004E509E">
        <w:rPr>
          <w:noProof/>
          <w:sz w:val="16"/>
          <w:szCs w:val="16"/>
        </w:rPr>
        <w:t xml:space="preserve">irection </w:t>
      </w:r>
      <w:r w:rsidR="00AA39AE">
        <w:rPr>
          <w:noProof/>
          <w:sz w:val="16"/>
          <w:szCs w:val="16"/>
        </w:rPr>
        <w:t>p</w:t>
      </w:r>
      <w:r w:rsidRPr="004E509E">
        <w:rPr>
          <w:noProof/>
          <w:sz w:val="16"/>
          <w:szCs w:val="16"/>
        </w:rPr>
        <w:t>rediction using the best classifier model</w:t>
      </w:r>
    </w:p>
    <w:p w:rsidR="00B72025" w:rsidRDefault="00B72025" w:rsidP="00B72025">
      <w:pPr>
        <w:rPr>
          <w:noProof/>
          <w:sz w:val="16"/>
          <w:szCs w:val="16"/>
        </w:rPr>
      </w:pPr>
    </w:p>
    <w:tbl>
      <w:tblPr>
        <w:tblStyle w:val="TableGrid"/>
        <w:tblW w:w="5080" w:type="dxa"/>
        <w:jc w:val="center"/>
        <w:tblLook w:val="04A0"/>
      </w:tblPr>
      <w:tblGrid>
        <w:gridCol w:w="1270"/>
        <w:gridCol w:w="1270"/>
        <w:gridCol w:w="1270"/>
        <w:gridCol w:w="1270"/>
      </w:tblGrid>
      <w:tr w:rsidR="007B4705" w:rsidTr="007B4705">
        <w:trPr>
          <w:jc w:val="center"/>
        </w:trPr>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color w:val="000000"/>
                <w:sz w:val="16"/>
                <w:szCs w:val="16"/>
                <w:lang w:val="en-US"/>
              </w:rPr>
            </w:pPr>
            <w:r w:rsidRPr="00B72025">
              <w:rPr>
                <w:rFonts w:ascii="Times New Roman" w:hAnsi="Times New Roman" w:cs="Times New Roman"/>
                <w:b/>
                <w:bCs/>
                <w:color w:val="000000"/>
                <w:sz w:val="16"/>
                <w:szCs w:val="16"/>
                <w:lang w:val="en-US"/>
              </w:rPr>
              <w:t>Modelling Strategies</w:t>
            </w:r>
          </w:p>
          <w:p w:rsidR="007B4705" w:rsidRPr="00B72025" w:rsidRDefault="007B4705" w:rsidP="00C67BB8">
            <w:pPr>
              <w:jc w:val="left"/>
              <w:rPr>
                <w:rFonts w:ascii="Times New Roman" w:hAnsi="Times New Roman" w:cs="Times New Roman"/>
                <w:b/>
                <w:bCs/>
                <w:sz w:val="16"/>
                <w:szCs w:val="16"/>
              </w:rPr>
            </w:pPr>
          </w:p>
        </w:tc>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sz w:val="16"/>
                <w:szCs w:val="16"/>
              </w:rPr>
            </w:pPr>
            <w:r w:rsidRPr="00B72025">
              <w:rPr>
                <w:rFonts w:ascii="Times New Roman" w:hAnsi="Times New Roman" w:cs="Times New Roman"/>
                <w:b/>
                <w:bCs/>
                <w:sz w:val="16"/>
                <w:szCs w:val="16"/>
              </w:rPr>
              <w:t>SBI</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Direction detection by six, ten, </w:t>
            </w:r>
            <w:r w:rsidR="0024145E">
              <w:rPr>
                <w:rFonts w:ascii="Times New Roman" w:hAnsi="Times New Roman" w:cs="Times New Roman"/>
                <w:sz w:val="16"/>
                <w:szCs w:val="16"/>
              </w:rPr>
              <w:t xml:space="preserve">and </w:t>
            </w:r>
            <w:r w:rsidRPr="007B4705">
              <w:rPr>
                <w:rFonts w:ascii="Times New Roman" w:hAnsi="Times New Roman" w:cs="Times New Roman"/>
                <w:sz w:val="16"/>
                <w:szCs w:val="16"/>
              </w:rPr>
              <w:t>fourteen  days consecutive closing prices split week on the week</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(random forest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precision-0.85</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recall-0.89</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accuracy-0.87</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precision-0.71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recall-0.79</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accuracy-0.74</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precision-0.83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recall-0.88</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accuracy-0.85</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volume indicators</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(logistic regression classifier)</w:t>
            </w:r>
          </w:p>
        </w:tc>
        <w:tc>
          <w:tcPr>
            <w:tcW w:w="1270" w:type="dxa"/>
            <w:vAlign w:val="center"/>
          </w:tcPr>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precision-0.98</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recall-0.83</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accuracy-0.92</w:t>
            </w:r>
          </w:p>
        </w:tc>
        <w:tc>
          <w:tcPr>
            <w:tcW w:w="1270" w:type="dxa"/>
            <w:vAlign w:val="center"/>
          </w:tcPr>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precision-0.99</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recall-0.93</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accuracy-0.97</w:t>
            </w:r>
          </w:p>
        </w:tc>
        <w:tc>
          <w:tcPr>
            <w:tcW w:w="1270" w:type="dxa"/>
            <w:vAlign w:val="center"/>
          </w:tcPr>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precision-0.92</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recall-0.80</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accuracy-0.90</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momentum indicators</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(logistic regression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precision-0.71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accuracy-0.76</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precision-0.73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accuracy-0.75</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precision-0.69</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recall-0.62</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accuracy-0.74</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trend indicators </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(extreme gradient boost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precision-0.85</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recall-0.74</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accuracy-0.85</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precision-0.82</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accuracy-0.79</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recall-0.67</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accuracy-0.81</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volatility indicators </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(extreme gradient boost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precision-0.86</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recall-0.75</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accuracy-0.85</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accuracy-0.79</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precision-0.80</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recall-0.67</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accuracy-0.81</w:t>
            </w:r>
          </w:p>
        </w:tc>
      </w:tr>
    </w:tbl>
    <w:p w:rsidR="00B72025" w:rsidRPr="007B4705" w:rsidRDefault="00B72025" w:rsidP="007B4705">
      <w:pPr>
        <w:jc w:val="both"/>
        <w:rPr>
          <w:noProof/>
          <w:sz w:val="16"/>
          <w:szCs w:val="16"/>
        </w:rPr>
      </w:pPr>
    </w:p>
    <w:p w:rsidR="00B72025" w:rsidRDefault="00B72025" w:rsidP="00B72025">
      <w:pPr>
        <w:jc w:val="both"/>
      </w:pPr>
      <w:r>
        <w:t>From Table 6</w:t>
      </w:r>
      <w:r w:rsidRPr="00C66D66">
        <w:t xml:space="preserve">, </w:t>
      </w:r>
      <w:r w:rsidRPr="00AF3132">
        <w:t xml:space="preserve">it </w:t>
      </w:r>
      <w:r w:rsidR="00E46579">
        <w:t>is</w:t>
      </w:r>
      <w:r w:rsidR="00C07526">
        <w:t xml:space="preserve"> observed that random forest </w:t>
      </w:r>
      <w:r w:rsidRPr="00AF3132">
        <w:t>classifier modelling has g</w:t>
      </w:r>
      <w:r w:rsidR="00D57A78">
        <w:t>iven the highest efficiency in direction detection among all m</w:t>
      </w:r>
      <w:r w:rsidRPr="00AF3132">
        <w:t xml:space="preserve">odelling techniques namely </w:t>
      </w:r>
      <w:r w:rsidR="00C07526">
        <w:t>logistic regression, decision tree, random forest, k nearest neighbour</w:t>
      </w:r>
      <w:r w:rsidRPr="00AF3132">
        <w:t xml:space="preserve">, and </w:t>
      </w:r>
      <w:r w:rsidR="00C07526">
        <w:t>extreme gradient</w:t>
      </w:r>
      <w:r w:rsidR="00EB4D47">
        <w:t xml:space="preserve"> boost m</w:t>
      </w:r>
      <w:r w:rsidRPr="00AF3132">
        <w:t xml:space="preserve">odelling. This has been tested and proven with </w:t>
      </w:r>
      <w:r w:rsidR="00C07526">
        <w:t xml:space="preserve">six, ten, and fourteen </w:t>
      </w:r>
      <w:r w:rsidRPr="00AF3132">
        <w:t xml:space="preserve">day consecutive closing prices split week on week as </w:t>
      </w:r>
      <w:r w:rsidR="00C07526">
        <w:t>six</w:t>
      </w:r>
      <w:r w:rsidRPr="00AF3132">
        <w:t xml:space="preserve">, </w:t>
      </w:r>
      <w:r w:rsidR="00C07526">
        <w:t>ten</w:t>
      </w:r>
      <w:r w:rsidRPr="00AF3132">
        <w:t xml:space="preserve">, and </w:t>
      </w:r>
      <w:r w:rsidR="00C07526">
        <w:t>fourteen</w:t>
      </w:r>
      <w:r w:rsidRPr="00AF3132">
        <w:t xml:space="preserve"> feature variables. Also</w:t>
      </w:r>
      <w:r w:rsidR="00D57A78" w:rsidRPr="00AF3132">
        <w:t xml:space="preserve">, </w:t>
      </w:r>
      <w:r w:rsidR="00D57A78">
        <w:t>logistic</w:t>
      </w:r>
      <w:r w:rsidR="00C07526">
        <w:t xml:space="preserve"> regression</w:t>
      </w:r>
      <w:r w:rsidRPr="00AF3132">
        <w:t xml:space="preserve"> classifier modelling has provided the best preci</w:t>
      </w:r>
      <w:r w:rsidR="00C07526">
        <w:t>sion, recall, and accuracy for go l</w:t>
      </w:r>
      <w:r w:rsidRPr="00AF3132">
        <w:t xml:space="preserve">ong </w:t>
      </w:r>
      <w:r w:rsidR="00C07526">
        <w:t>d</w:t>
      </w:r>
      <w:r w:rsidRPr="00AF3132">
        <w:t xml:space="preserve">irection prediction using </w:t>
      </w:r>
      <w:r w:rsidR="00C07526">
        <w:t>volume i</w:t>
      </w:r>
      <w:r w:rsidRPr="00AF3132">
        <w:t xml:space="preserve">ndicators.  </w:t>
      </w:r>
    </w:p>
    <w:p w:rsidR="00B72025" w:rsidRDefault="00E46579" w:rsidP="00B72025">
      <w:pPr>
        <w:pStyle w:val="Heading2"/>
        <w:jc w:val="both"/>
      </w:pPr>
      <w:r>
        <w:t>Utility from the b</w:t>
      </w:r>
      <w:r w:rsidR="00B72025" w:rsidRPr="00800F93">
        <w:t>usiness perspectives</w:t>
      </w:r>
    </w:p>
    <w:p w:rsidR="00B72025" w:rsidRDefault="00B72025" w:rsidP="00B72025">
      <w:pPr>
        <w:ind w:firstLine="288"/>
        <w:jc w:val="both"/>
      </w:pPr>
      <w:r>
        <w:t>For a stop loss of 2.0 reward-risk ratio for approximat</w:t>
      </w:r>
      <w:r w:rsidR="00D37EC1">
        <w:t>ely 0.8 p</w:t>
      </w:r>
      <w:r>
        <w:t xml:space="preserve">recision would be 2*.8/2*.2=4:1 if a 0.5% difference in consecutive day close price for any stock is only 2.0.for </w:t>
      </w:r>
      <w:r>
        <w:lastRenderedPageBreak/>
        <w:t>higher percentage difference reward to risk ratio would be higher.</w:t>
      </w:r>
    </w:p>
    <w:p w:rsidR="00B72025" w:rsidRDefault="00AA39AE" w:rsidP="00B72025">
      <w:pPr>
        <w:ind w:firstLine="288"/>
        <w:jc w:val="both"/>
      </w:pPr>
      <w:r>
        <w:t>Here, modelling algorithms provide</w:t>
      </w:r>
      <w:r w:rsidR="00B72025">
        <w:t xml:space="preserve"> the close price of HDFC</w:t>
      </w:r>
      <w:r>
        <w:t xml:space="preserve"> </w:t>
      </w:r>
      <w:r w:rsidR="00D37EC1">
        <w:t>B</w:t>
      </w:r>
      <w:r w:rsidR="00B72025">
        <w:t>ANK, KOTAK</w:t>
      </w:r>
      <w:r>
        <w:t xml:space="preserve"> BANK, and SBI BANK Stock over twenty</w:t>
      </w:r>
      <w:r w:rsidR="00B72025">
        <w:t xml:space="preserve"> years with the train test split of 70%:</w:t>
      </w:r>
      <w:r>
        <w:t>30%. If we invest Rs.10000 for six</w:t>
      </w:r>
      <w:r w:rsidR="00B72025">
        <w:t xml:space="preserve"> years and roughly calculate profit with 0.5% change on close price with the highest precision in detecting true positives then the following results are possible as per the formulae given </w:t>
      </w:r>
      <w:r w:rsidR="007D20CE">
        <w:t>in (1)</w:t>
      </w:r>
      <w:r w:rsidR="00B72025">
        <w:t>:</w:t>
      </w:r>
    </w:p>
    <w:p w:rsidR="007D20CE" w:rsidRDefault="007D20CE" w:rsidP="007D20CE">
      <w:pPr>
        <w:jc w:val="both"/>
      </w:pPr>
    </w:p>
    <w:p w:rsidR="00B72025" w:rsidRPr="007D20CE" w:rsidRDefault="00F52BBE" w:rsidP="007D20CE">
      <w:pPr>
        <w:jc w:val="both"/>
      </w:pPr>
      <m:oMathPara>
        <m:oMath>
          <m:r>
            <w:rPr>
              <w:rFonts w:ascii="Cambria Math" w:hAnsi="Cambria Math"/>
            </w:rPr>
            <m:t>n</m:t>
          </m:r>
          <m:r>
            <w:rPr>
              <w:rFonts w:ascii="Cambria Math"/>
            </w:rPr>
            <m:t>=</m:t>
          </m:r>
          <m:r>
            <w:rPr>
              <w:rFonts w:ascii="Cambria Math" w:hAnsi="Cambria Math"/>
            </w:rPr>
            <m:t>number</m:t>
          </m:r>
          <m:r>
            <w:rPr>
              <w:rFonts w:ascii="Cambria Math"/>
            </w:rPr>
            <m:t xml:space="preserve"> </m:t>
          </m:r>
          <m:r>
            <w:rPr>
              <w:rFonts w:ascii="Cambria Math" w:hAnsi="Cambria Math"/>
            </w:rPr>
            <m:t>of</m:t>
          </m:r>
          <m:r>
            <w:rPr>
              <w:rFonts w:ascii="Cambria Math"/>
            </w:rPr>
            <m:t xml:space="preserve"> </m:t>
          </m:r>
          <m:r>
            <w:rPr>
              <w:rFonts w:ascii="Cambria Math" w:hAnsi="Cambria Math"/>
            </w:rPr>
            <m:t>days</m:t>
          </m:r>
          <m:r>
            <w:rPr>
              <w:rFonts w:ascii="Cambria Math"/>
            </w:rPr>
            <m:t xml:space="preserve"> </m:t>
          </m:r>
          <m:r>
            <w:rPr>
              <w:rFonts w:ascii="Cambria Math" w:hAnsi="Cambria Math"/>
            </w:rPr>
            <m:t>it</m:t>
          </m:r>
          <m:r>
            <w:rPr>
              <w:rFonts w:ascii="Cambria Math"/>
            </w:rPr>
            <m:t xml:space="preserve"> </m:t>
          </m:r>
          <m:r>
            <w:rPr>
              <w:rFonts w:ascii="Cambria Math" w:hAnsi="Cambria Math"/>
            </w:rPr>
            <m:t>is</m:t>
          </m:r>
          <m:r>
            <w:rPr>
              <w:rFonts w:ascii="Cambria Math"/>
            </w:rPr>
            <m:t xml:space="preserve"> </m:t>
          </m:r>
          <m:r>
            <w:rPr>
              <w:rFonts w:ascii="Cambria Math" w:hAnsi="Cambria Math"/>
            </w:rPr>
            <m:t>truepositive</m:t>
          </m:r>
        </m:oMath>
      </m:oMathPara>
    </w:p>
    <w:p w:rsidR="007D20CE" w:rsidRPr="007D20CE" w:rsidRDefault="00F52BBE" w:rsidP="007D20CE">
      <w:pPr>
        <w:jc w:val="both"/>
      </w:pPr>
      <m:oMathPara>
        <m:oMath>
          <m:r>
            <w:rPr>
              <w:rFonts w:ascii="Cambria Math" w:hAnsi="Cambria Math"/>
            </w:rPr>
            <m:t>m</m:t>
          </m:r>
          <m:r>
            <w:rPr>
              <w:rFonts w:ascii="Cambria Math"/>
            </w:rPr>
            <m:t>=</m:t>
          </m:r>
          <m:r>
            <w:rPr>
              <w:rFonts w:ascii="Cambria Math" w:hAnsi="Cambria Math"/>
            </w:rPr>
            <m:t>number</m:t>
          </m:r>
          <m:r>
            <w:rPr>
              <w:rFonts w:ascii="Cambria Math"/>
            </w:rPr>
            <m:t xml:space="preserve"> </m:t>
          </m:r>
          <m:r>
            <w:rPr>
              <w:rFonts w:ascii="Cambria Math" w:hAnsi="Cambria Math"/>
            </w:rPr>
            <m:t>of</m:t>
          </m:r>
          <m:r>
            <w:rPr>
              <w:rFonts w:ascii="Cambria Math"/>
            </w:rPr>
            <m:t xml:space="preserve"> </m:t>
          </m:r>
          <m:r>
            <w:rPr>
              <w:rFonts w:ascii="Cambria Math" w:hAnsi="Cambria Math"/>
            </w:rPr>
            <m:t>days</m:t>
          </m:r>
          <m:r>
            <w:rPr>
              <w:rFonts w:ascii="Cambria Math"/>
            </w:rPr>
            <m:t xml:space="preserve"> </m:t>
          </m:r>
          <m:r>
            <w:rPr>
              <w:rFonts w:ascii="Cambria Math" w:hAnsi="Cambria Math"/>
            </w:rPr>
            <m:t>it</m:t>
          </m:r>
          <m:r>
            <w:rPr>
              <w:rFonts w:ascii="Cambria Math"/>
            </w:rPr>
            <m:t xml:space="preserve"> </m:t>
          </m:r>
          <m:r>
            <w:rPr>
              <w:rFonts w:ascii="Cambria Math" w:hAnsi="Cambria Math"/>
            </w:rPr>
            <m:t>is</m:t>
          </m:r>
          <m:r>
            <w:rPr>
              <w:rFonts w:ascii="Cambria Math"/>
            </w:rPr>
            <m:t xml:space="preserve"> </m:t>
          </m:r>
          <m:r>
            <w:rPr>
              <w:rFonts w:ascii="Cambria Math" w:hAnsi="Cambria Math"/>
            </w:rPr>
            <m:t>falsepositive</m:t>
          </m:r>
        </m:oMath>
      </m:oMathPara>
    </w:p>
    <w:p w:rsidR="007D20CE" w:rsidRPr="007D20CE" w:rsidRDefault="007D20CE" w:rsidP="007D20CE">
      <w:pPr>
        <w:jc w:val="both"/>
      </w:pPr>
      <w:r w:rsidRPr="007D20CE">
        <w:t xml:space="preserve">             </w:t>
      </w:r>
      <m:oMath>
        <m:r>
          <w:rPr>
            <w:rFonts w:ascii="Cambria Math" w:hAnsi="Cambria Math"/>
          </w:rPr>
          <m:t>pr</m:t>
        </m:r>
        <m:r>
          <w:rPr>
            <w:rFonts w:ascii="Cambria Math"/>
          </w:rPr>
          <m:t>=</m:t>
        </m:r>
        <m:r>
          <w:rPr>
            <w:rFonts w:ascii="Cambria Math" w:hAnsi="Cambria Math"/>
          </w:rPr>
          <m:t>precision</m:t>
        </m:r>
      </m:oMath>
    </w:p>
    <w:p w:rsidR="007D20CE" w:rsidRPr="007D20CE" w:rsidRDefault="007D20CE" w:rsidP="007D20CE">
      <w:pPr>
        <w:jc w:val="both"/>
      </w:pPr>
      <w:r w:rsidRPr="007D20CE">
        <w:t xml:space="preserve">             </w:t>
      </w:r>
      <m:oMath>
        <m:r>
          <w:rPr>
            <w:rFonts w:ascii="Cambria Math" w:hAnsi="Cambria Math"/>
          </w:rPr>
          <m:t>p</m:t>
        </m:r>
        <m:r>
          <w:rPr>
            <w:rFonts w:ascii="Cambria Math"/>
          </w:rPr>
          <m:t>=</m:t>
        </m:r>
        <m:r>
          <w:rPr>
            <w:rFonts w:ascii="Cambria Math" w:hAnsi="Cambria Math"/>
          </w:rPr>
          <m:t>percentage</m:t>
        </m:r>
        <m:r>
          <w:rPr>
            <w:rFonts w:ascii="Cambria Math"/>
          </w:rPr>
          <m:t xml:space="preserve"> </m:t>
        </m:r>
        <m:r>
          <w:rPr>
            <w:rFonts w:ascii="Cambria Math" w:hAnsi="Cambria Math"/>
          </w:rPr>
          <m:t>c</m:t>
        </m:r>
        <m:r>
          <m:t>h</m:t>
        </m:r>
        <m:r>
          <w:rPr>
            <w:rFonts w:ascii="Cambria Math" w:hAnsi="Cambria Math"/>
          </w:rPr>
          <m:t>ange</m:t>
        </m:r>
      </m:oMath>
    </w:p>
    <w:p w:rsidR="007D20CE" w:rsidRDefault="007D20CE" w:rsidP="007D20CE">
      <w:pPr>
        <w:jc w:val="both"/>
      </w:pPr>
      <w:r w:rsidRPr="007D20CE">
        <w:t xml:space="preserve">             </w:t>
      </w:r>
      <m:oMath>
        <m:r>
          <w:rPr>
            <w:rFonts w:ascii="Cambria Math" w:hAnsi="Cambria Math"/>
          </w:rPr>
          <m:t>c</m:t>
        </m:r>
        <m:r>
          <w:rPr>
            <w:rFonts w:ascii="Cambria Math"/>
          </w:rPr>
          <m:t>=</m:t>
        </m:r>
        <m:r>
          <w:rPr>
            <w:rFonts w:ascii="Cambria Math" w:hAnsi="Cambria Math"/>
          </w:rPr>
          <m:t>capital</m:t>
        </m:r>
        <m:r>
          <w:rPr>
            <w:rFonts w:ascii="Cambria Math"/>
          </w:rPr>
          <m:t xml:space="preserve"> </m:t>
        </m:r>
        <m:r>
          <w:rPr>
            <w:rFonts w:ascii="Cambria Math" w:hAnsi="Cambria Math"/>
          </w:rPr>
          <m:t>invest</m:t>
        </m:r>
      </m:oMath>
      <w:r>
        <w:t xml:space="preserve">                </w:t>
      </w:r>
    </w:p>
    <w:p w:rsidR="007D20CE" w:rsidRDefault="007D20CE" w:rsidP="007D20CE">
      <w:pPr>
        <w:jc w:val="both"/>
      </w:pPr>
      <m:oMath>
        <m:r>
          <w:rPr>
            <w:rFonts w:ascii="Cambria Math" w:hAnsi="Cambria Math"/>
          </w:rPr>
          <m:t>net</m:t>
        </m:r>
        <m:r>
          <w:rPr>
            <w:rFonts w:ascii="Cambria Math"/>
          </w:rPr>
          <m:t xml:space="preserve"> </m:t>
        </m:r>
        <m:r>
          <w:rPr>
            <w:rFonts w:ascii="Cambria Math" w:hAnsi="Cambria Math"/>
          </w:rPr>
          <m:t>returns</m:t>
        </m:r>
        <m:r>
          <w:rPr>
            <w:rFonts w:ascii="Cambria Math"/>
          </w:rPr>
          <m:t>=(</m:t>
        </m:r>
        <m:r>
          <w:rPr>
            <w:rFonts w:ascii="Cambria Math" w:hAnsi="Cambria Math"/>
          </w:rPr>
          <m:t>p*c*n*pr</m:t>
        </m:r>
        <m:r>
          <w:rPr>
            <w:rFonts w:ascii="Cambria Math"/>
          </w:rPr>
          <m:t xml:space="preserve"> </m:t>
        </m:r>
        <m:r>
          <w:rPr>
            <w:rFonts w:ascii="Cambria Math"/>
          </w:rPr>
          <m:t>–</m:t>
        </m:r>
        <m:r>
          <w:rPr>
            <w:rFonts w:ascii="Cambria Math" w:hAnsi="Cambria Math"/>
          </w:rPr>
          <m:t>p*c*m*pr</m:t>
        </m:r>
        <m:r>
          <w:rPr>
            <w:rFonts w:ascii="Cambria Math"/>
          </w:rPr>
          <m:t>)/100</m:t>
        </m:r>
      </m:oMath>
      <w:r>
        <w:t xml:space="preserve">                                                                    </w:t>
      </w:r>
    </w:p>
    <w:p w:rsidR="007D20CE" w:rsidRPr="007D20CE" w:rsidRDefault="007D20CE" w:rsidP="007D20CE">
      <w:pPr>
        <w:ind w:left="4320"/>
        <w:jc w:val="both"/>
      </w:pPr>
      <w:r>
        <w:t xml:space="preserve"> (1)</w:t>
      </w:r>
    </w:p>
    <w:p w:rsidR="00B72025" w:rsidRDefault="00B72025" w:rsidP="00B72025">
      <w:pPr>
        <w:jc w:val="both"/>
      </w:pPr>
    </w:p>
    <w:p w:rsidR="00B72025" w:rsidRDefault="00B72025" w:rsidP="00B72025">
      <w:pPr>
        <w:jc w:val="both"/>
      </w:pPr>
      <w:r>
        <w:t>U</w:t>
      </w:r>
      <w:r w:rsidR="00AA39AE">
        <w:t>sing trend i</w:t>
      </w:r>
      <w:r w:rsidRPr="00F46003">
        <w:t xml:space="preserve">ndicators with </w:t>
      </w:r>
      <w:r>
        <w:t>the highest</w:t>
      </w:r>
      <w:r w:rsidRPr="00F46003">
        <w:t xml:space="preserve"> precision </w:t>
      </w:r>
      <w:r>
        <w:t>of 0.85 for HDFC</w:t>
      </w:r>
      <w:r w:rsidR="00AA39AE">
        <w:t xml:space="preserve"> </w:t>
      </w:r>
      <w:r>
        <w:t xml:space="preserve">BANK stock, the confusion matrix provides information as </w:t>
      </w:r>
      <w:r w:rsidR="00F43EFE">
        <w:t xml:space="preserve">shown in Fig. </w:t>
      </w:r>
      <w:r w:rsidR="00DE43D0">
        <w:t>9:</w:t>
      </w:r>
    </w:p>
    <w:p w:rsidR="00B72025" w:rsidRDefault="00B72025" w:rsidP="00B72025">
      <w:pPr>
        <w:jc w:val="both"/>
      </w:pPr>
    </w:p>
    <w:p w:rsidR="00B72025" w:rsidRDefault="00FF317D" w:rsidP="00B72025">
      <w:r w:rsidRPr="00FF317D">
        <w:rPr>
          <w:noProof/>
        </w:rPr>
        <w:drawing>
          <wp:inline distT="0" distB="0" distL="0" distR="0">
            <wp:extent cx="2682961" cy="1870166"/>
            <wp:effectExtent l="19050" t="0" r="3089"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B72025" w:rsidRDefault="00B72025" w:rsidP="00B72025">
      <w:pPr>
        <w:rPr>
          <w:noProof/>
          <w:sz w:val="16"/>
          <w:szCs w:val="16"/>
        </w:rPr>
      </w:pPr>
    </w:p>
    <w:p w:rsidR="00B72025" w:rsidRPr="00E15128" w:rsidRDefault="000A07D1" w:rsidP="00B72025">
      <w:pPr>
        <w:rPr>
          <w:noProof/>
          <w:sz w:val="16"/>
          <w:szCs w:val="16"/>
        </w:rPr>
      </w:pPr>
      <w:r>
        <w:rPr>
          <w:noProof/>
          <w:sz w:val="16"/>
          <w:szCs w:val="16"/>
        </w:rPr>
        <w:t>Fig.</w:t>
      </w:r>
      <w:r w:rsidR="00F43EFE">
        <w:rPr>
          <w:noProof/>
          <w:sz w:val="16"/>
          <w:szCs w:val="16"/>
        </w:rPr>
        <w:t xml:space="preserve"> 9</w:t>
      </w:r>
      <w:r w:rsidR="00B72025" w:rsidRPr="00E15128">
        <w:rPr>
          <w:noProof/>
          <w:sz w:val="16"/>
          <w:szCs w:val="16"/>
        </w:rPr>
        <w:t>.</w:t>
      </w:r>
      <w:r w:rsidR="00AA39AE">
        <w:rPr>
          <w:noProof/>
          <w:sz w:val="16"/>
          <w:szCs w:val="16"/>
        </w:rPr>
        <w:t xml:space="preserve"> confusion matrix For HDFCBANK s</w:t>
      </w:r>
      <w:r w:rsidR="00B72025" w:rsidRPr="00E15128">
        <w:rPr>
          <w:noProof/>
          <w:sz w:val="16"/>
          <w:szCs w:val="16"/>
        </w:rPr>
        <w:t>tock using</w:t>
      </w:r>
    </w:p>
    <w:p w:rsidR="00B72025" w:rsidRPr="00AD799D" w:rsidRDefault="00AA39AE" w:rsidP="00B72025">
      <w:pPr>
        <w:rPr>
          <w:noProof/>
          <w:sz w:val="16"/>
          <w:szCs w:val="16"/>
        </w:rPr>
      </w:pPr>
      <w:r>
        <w:rPr>
          <w:noProof/>
          <w:sz w:val="16"/>
          <w:szCs w:val="16"/>
        </w:rPr>
        <w:t>t</w:t>
      </w:r>
      <w:r w:rsidR="00B72025" w:rsidRPr="00E15128">
        <w:rPr>
          <w:noProof/>
          <w:sz w:val="16"/>
          <w:szCs w:val="16"/>
        </w:rPr>
        <w:t>ren</w:t>
      </w:r>
      <w:r>
        <w:rPr>
          <w:noProof/>
          <w:sz w:val="16"/>
          <w:szCs w:val="16"/>
        </w:rPr>
        <w:t>d indicators as f</w:t>
      </w:r>
      <w:r w:rsidR="00B72025" w:rsidRPr="00E15128">
        <w:rPr>
          <w:noProof/>
          <w:sz w:val="16"/>
          <w:szCs w:val="16"/>
        </w:rPr>
        <w:t>eature variables</w:t>
      </w:r>
    </w:p>
    <w:p w:rsidR="00B72025" w:rsidRDefault="00B72025" w:rsidP="00B72025">
      <w:pPr>
        <w:jc w:val="both"/>
      </w:pPr>
    </w:p>
    <w:p w:rsidR="00B72025" w:rsidRDefault="00B72025" w:rsidP="00B72025">
      <w:pPr>
        <w:jc w:val="both"/>
      </w:pPr>
      <w:r>
        <w:t>Therefore,</w:t>
      </w:r>
      <w:r w:rsidR="00F70599">
        <w:t xml:space="preserve"> </w:t>
      </w:r>
      <w:r w:rsidRPr="007A5564">
        <w:t>Net Returns</w:t>
      </w:r>
      <w:r>
        <w:t xml:space="preserve"> </w:t>
      </w:r>
      <w:r w:rsidR="00AA39AE">
        <w:t>are</w:t>
      </w:r>
      <w:r>
        <w:t>:</w:t>
      </w:r>
    </w:p>
    <w:p w:rsidR="00F70599" w:rsidRPr="00F46003" w:rsidRDefault="003D26EB" w:rsidP="00B72025">
      <w:pPr>
        <w:jc w:val="both"/>
      </w:pPr>
      <m:oMathPara>
        <m:oMathParaPr>
          <m:jc m:val="left"/>
        </m:oMathParaPr>
        <m:oMath>
          <m:r>
            <m:rPr>
              <m:sty m:val="p"/>
            </m:rPr>
            <w:rPr>
              <w:rFonts w:ascii="Cambria Math" w:hAnsi="Cambria Math"/>
            </w:rPr>
            <m:t>0.5*10000*319*0.85/100-0.5*10000*56*0.85/100</m:t>
          </m:r>
        </m:oMath>
      </m:oMathPara>
    </w:p>
    <w:p w:rsidR="00F70599" w:rsidRDefault="00B72025" w:rsidP="00F70599">
      <w:pPr>
        <w:jc w:val="left"/>
      </w:pPr>
      <w:r w:rsidRPr="00F46003">
        <w:t>=Rs.</w:t>
      </w:r>
      <w:r w:rsidRPr="002465DC">
        <w:t xml:space="preserve"> </w:t>
      </w:r>
      <w:r w:rsidR="003D26EB" w:rsidRPr="003D26EB">
        <w:t>11177.5</w:t>
      </w:r>
      <w:r w:rsidRPr="00F46003">
        <w:t xml:space="preserve"> profit which would be </w:t>
      </w:r>
      <w:r w:rsidR="00F70599">
        <w:t xml:space="preserve">                           </w:t>
      </w:r>
      <m:oMath>
        <m:r>
          <m:rPr>
            <m:sty m:val="p"/>
          </m:rPr>
          <w:rPr>
            <w:rFonts w:ascii="Cambria Math" w:hAnsi="Cambria Math"/>
          </w:rPr>
          <m:t>11177.5/ (10000*6)*100</m:t>
        </m:r>
      </m:oMath>
    </w:p>
    <w:p w:rsidR="00B72025" w:rsidRDefault="00B72025" w:rsidP="00B72025">
      <w:pPr>
        <w:jc w:val="both"/>
      </w:pPr>
      <w:r w:rsidRPr="00F46003">
        <w:t>=</w:t>
      </w:r>
      <w:r w:rsidR="003D26EB">
        <w:t>18.</w:t>
      </w:r>
      <w:r>
        <w:t>6</w:t>
      </w:r>
      <w:r w:rsidR="003D26EB">
        <w:t>3</w:t>
      </w:r>
      <w:r w:rsidRPr="00F46003">
        <w:t>% returns.</w:t>
      </w:r>
    </w:p>
    <w:p w:rsidR="00B72025" w:rsidRDefault="00B72025" w:rsidP="00B72025">
      <w:pPr>
        <w:jc w:val="both"/>
      </w:pPr>
    </w:p>
    <w:p w:rsidR="00B72025" w:rsidRDefault="00F70599" w:rsidP="00B72025">
      <w:pPr>
        <w:pStyle w:val="Heading2"/>
        <w:jc w:val="both"/>
      </w:pPr>
      <w:r>
        <w:t xml:space="preserve">Risk </w:t>
      </w:r>
      <w:r w:rsidR="00DC039E">
        <w:t>adjusted r</w:t>
      </w:r>
      <w:r w:rsidR="00E50997" w:rsidRPr="002E6CC9">
        <w:t>eturns</w:t>
      </w:r>
    </w:p>
    <w:p w:rsidR="00E50997" w:rsidRDefault="00DC039E" w:rsidP="00E50997">
      <w:pPr>
        <w:jc w:val="both"/>
      </w:pPr>
      <w:r>
        <w:t>The real d</w:t>
      </w:r>
      <w:r w:rsidR="00E50997">
        <w:t xml:space="preserve">ata dump is imported for HDFC, KOTAK, and SBI stock between 2000 till 2022. Then the </w:t>
      </w:r>
      <w:r w:rsidR="00AA39AE">
        <w:t>return, variance, and v</w:t>
      </w:r>
      <w:r w:rsidR="00E50997">
        <w:t xml:space="preserve">olatility of these stocks are </w:t>
      </w:r>
      <w:r w:rsidR="00AA39AE">
        <w:t>calculated following which the annualized return to r</w:t>
      </w:r>
      <w:r w:rsidR="00AD14B6">
        <w:t>isk ratio and finally, the Sharpe ratios are calculated. The Sharpe</w:t>
      </w:r>
      <w:r w:rsidR="00E50997">
        <w:t xml:space="preserve"> ratio for HDFC,</w:t>
      </w:r>
      <w:r w:rsidR="00E50997" w:rsidRPr="00AD799D">
        <w:t xml:space="preserve"> </w:t>
      </w:r>
      <w:r w:rsidR="00E50997">
        <w:t>KOTAK, and SBI Stock is calculated as 0.173818, 0.149589</w:t>
      </w:r>
      <w:r w:rsidR="00C914FB">
        <w:t>,</w:t>
      </w:r>
      <w:r w:rsidR="00E50997">
        <w:t xml:space="preserve"> and 0.005306 respectively.</w:t>
      </w:r>
    </w:p>
    <w:p w:rsidR="00E50997" w:rsidRDefault="00E50997" w:rsidP="00E50997">
      <w:pPr>
        <w:jc w:val="both"/>
      </w:pPr>
    </w:p>
    <w:p w:rsidR="00B72025" w:rsidRPr="00B72025" w:rsidRDefault="00E50997" w:rsidP="00E50997">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6709CC" w:rsidRDefault="006709CC" w:rsidP="006709CC">
      <w:pPr>
        <w:pStyle w:val="Heading1"/>
      </w:pPr>
      <w:r>
        <w:lastRenderedPageBreak/>
        <w:t>CONCLUSION/IMPLICATIONS</w:t>
      </w:r>
    </w:p>
    <w:p w:rsidR="006709CC" w:rsidRDefault="00C07526" w:rsidP="00AD799D">
      <w:pPr>
        <w:pStyle w:val="BodyText"/>
      </w:pPr>
      <w:r>
        <w:t xml:space="preserve">The six </w:t>
      </w:r>
      <w:r w:rsidR="006709CC" w:rsidRPr="000B1C2A">
        <w:t>day consecutive closing price for the stock under consi</w:t>
      </w:r>
      <w:r>
        <w:t>deration is being taken. These six</w:t>
      </w:r>
      <w:r w:rsidR="006709CC" w:rsidRPr="000B1C2A">
        <w:t xml:space="preserve"> days' consecutive closing prices will be </w:t>
      </w:r>
      <w:r w:rsidR="00C914FB">
        <w:t xml:space="preserve">getting </w:t>
      </w:r>
      <w:r w:rsidR="006709CC" w:rsidRPr="000B1C2A">
        <w:t xml:space="preserve">tabulated week on week for the entire dataset and will be utilized as </w:t>
      </w:r>
      <w:r>
        <w:t>six</w:t>
      </w:r>
      <w:r w:rsidR="006709CC" w:rsidRPr="000B1C2A">
        <w:t xml:space="preserve"> different feature variables f</w:t>
      </w:r>
      <w:r w:rsidR="006F6B23">
        <w:t>or building the classification m</w:t>
      </w:r>
      <w:r w:rsidR="006709CC" w:rsidRPr="000B1C2A">
        <w:t>od</w:t>
      </w:r>
      <w:r>
        <w:t>el. The difference between the seven</w:t>
      </w:r>
      <w:r w:rsidR="006709CC" w:rsidRPr="000B1C2A">
        <w:t xml:space="preserve">th and </w:t>
      </w:r>
      <w:r>
        <w:t>eight</w:t>
      </w:r>
      <w:r w:rsidRPr="000B1C2A">
        <w:t>h</w:t>
      </w:r>
      <w:r w:rsidR="006F6B23">
        <w:t xml:space="preserve"> day c</w:t>
      </w:r>
      <w:r w:rsidR="006709CC" w:rsidRPr="000B1C2A">
        <w:t>losing price is determined.</w:t>
      </w:r>
      <w:r w:rsidR="006709CC">
        <w:t xml:space="preserve"> The </w:t>
      </w:r>
      <w:r w:rsidR="00F71FFF">
        <w:t>0.5</w:t>
      </w:r>
      <w:r w:rsidR="006709CC" w:rsidRPr="000B1C2A">
        <w:t xml:space="preserve">% difference,1% difference, and 1.5% difference are different classes of direction for which the rule is being set which is to be followed for computing the direction change as either positive change, negative change, or no change. </w:t>
      </w:r>
      <w:r w:rsidR="004255E2" w:rsidRPr="004255E2">
        <w:t>Once the parameter for the best prediction accuracy is determined say for example 0.7% among all different classes of direction</w:t>
      </w:r>
      <w:r w:rsidR="006709CC" w:rsidRPr="000B1C2A">
        <w:t xml:space="preserve"> then the similar process is again repeated for a range of consecutive days to be utilized as the feature variable increased to </w:t>
      </w:r>
      <w:r>
        <w:t>ten</w:t>
      </w:r>
      <w:r w:rsidR="006709CC" w:rsidRPr="000B1C2A">
        <w:t xml:space="preserve"> days and </w:t>
      </w:r>
      <w:r>
        <w:t>fourteen</w:t>
      </w:r>
      <w:r w:rsidR="006F6B23">
        <w:t xml:space="preserve"> days using the classifier m</w:t>
      </w:r>
      <w:r w:rsidR="006709CC" w:rsidRPr="000B1C2A">
        <w:t xml:space="preserve">odelling algorithm which provided the best directional </w:t>
      </w:r>
      <w:r w:rsidR="009F13E4" w:rsidRPr="000B1C2A">
        <w:t>prediction.</w:t>
      </w:r>
      <w:r w:rsidR="009F13E4">
        <w:t xml:space="preserve"> Similarly</w:t>
      </w:r>
      <w:r w:rsidR="006709CC">
        <w:t xml:space="preserve">, </w:t>
      </w:r>
      <w:r w:rsidR="006F6B23">
        <w:t>a</w:t>
      </w:r>
      <w:r w:rsidR="006709CC">
        <w:t xml:space="preserve">ll different types of technical indicators namely momentum indicators, trend indicators, volatility indicators, and volume indicators are utilized as feature variables </w:t>
      </w:r>
      <w:r w:rsidR="006F6B23">
        <w:t>based on the input dataset and v</w:t>
      </w:r>
      <w:r w:rsidR="006709CC">
        <w:t>ariou</w:t>
      </w:r>
      <w:r w:rsidR="006F6B23">
        <w:t>s c</w:t>
      </w:r>
      <w:r w:rsidR="004255E2">
        <w:t>lassification models namely logistic r</w:t>
      </w:r>
      <w:r w:rsidR="006F6B23">
        <w:t>egression, d</w:t>
      </w:r>
      <w:r w:rsidR="009F13E4">
        <w:t xml:space="preserve">ecision </w:t>
      </w:r>
      <w:r w:rsidR="006F6B23">
        <w:t>t</w:t>
      </w:r>
      <w:r w:rsidR="009F13E4">
        <w:t>ree</w:t>
      </w:r>
      <w:r w:rsidR="006F6B23">
        <w:t>, r</w:t>
      </w:r>
      <w:r w:rsidR="009F13E4">
        <w:t xml:space="preserve">andom </w:t>
      </w:r>
      <w:r w:rsidR="006F6B23">
        <w:t>f</w:t>
      </w:r>
      <w:r w:rsidR="009F13E4">
        <w:t>orest</w:t>
      </w:r>
      <w:r w:rsidR="004255E2">
        <w:t>, k</w:t>
      </w:r>
      <w:r w:rsidR="006F6B23">
        <w:t xml:space="preserve"> </w:t>
      </w:r>
      <w:r w:rsidR="004255E2">
        <w:t>n</w:t>
      </w:r>
      <w:r w:rsidR="009F13E4">
        <w:t xml:space="preserve">earest </w:t>
      </w:r>
      <w:r w:rsidR="004255E2">
        <w:t>n</w:t>
      </w:r>
      <w:r w:rsidR="009F13E4">
        <w:t>eighbour</w:t>
      </w:r>
      <w:r w:rsidR="006709CC">
        <w:t xml:space="preserve">, and </w:t>
      </w:r>
      <w:r w:rsidR="004255E2">
        <w:t>extreme gradient boost c</w:t>
      </w:r>
      <w:r w:rsidR="006709CC">
        <w:t>lassifier</w:t>
      </w:r>
      <w:r w:rsidR="004255E2">
        <w:t>s</w:t>
      </w:r>
      <w:r w:rsidR="006709CC">
        <w:t xml:space="preserve"> are deployed and their predict</w:t>
      </w:r>
      <w:r w:rsidR="004255E2">
        <w:t>ion accuracy is compared using m</w:t>
      </w:r>
      <w:r w:rsidR="006709CC">
        <w:t xml:space="preserve">etrics namely precision, recall, f1-score, accuracy score, and ROC AUC Score. The construction of all 20 models </w:t>
      </w:r>
      <w:r w:rsidR="004255E2">
        <w:t>is</w:t>
      </w:r>
      <w:r w:rsidR="006709CC">
        <w:t xml:space="preserve"> used to predict the direction of the close price for the stock under consideration. When the majority of the various models or all of them move in the same direction, a choice on whether to purchase or </w:t>
      </w:r>
      <w:r w:rsidR="0063176A">
        <w:t>not to purchase</w:t>
      </w:r>
      <w:r w:rsidR="006709CC">
        <w:t xml:space="preserve"> the stock must be made. </w:t>
      </w:r>
    </w:p>
    <w:p w:rsidR="006709CC" w:rsidRDefault="00F71FFF" w:rsidP="006709CC">
      <w:pPr>
        <w:pStyle w:val="BodyText"/>
        <w:ind w:firstLine="0"/>
      </w:pPr>
      <w:r>
        <w:t xml:space="preserve">This paper </w:t>
      </w:r>
      <w:r w:rsidR="006709CC">
        <w:t>solely focuses on predicting the direction of the close price of the HDFC stock using classifi</w:t>
      </w:r>
      <w:r w:rsidR="006F6B23">
        <w:t>cation algorithms t</w:t>
      </w:r>
      <w:r>
        <w:t>echniques. Later</w:t>
      </w:r>
      <w:r w:rsidR="006709CC">
        <w:t xml:space="preserve"> similar process is applied for predicting the direction of the close price of other stocks in the banking sector namel</w:t>
      </w:r>
      <w:r w:rsidR="006F6B23">
        <w:t>y SBI and KOTAK stocks. In the f</w:t>
      </w:r>
      <w:r w:rsidR="006709CC">
        <w:t>uture, there is a deploymen</w:t>
      </w:r>
      <w:r w:rsidR="006F6B23">
        <w:t>t d</w:t>
      </w:r>
      <w:r w:rsidR="006709CC">
        <w:t xml:space="preserve">ashboard proposed. As per the proposal for future assignments, the dashboard takes </w:t>
      </w:r>
      <w:r w:rsidR="006F6B23" w:rsidRPr="008E2414">
        <w:t>Application Programming Interface</w:t>
      </w:r>
      <w:r w:rsidR="006F6B23">
        <w:t xml:space="preserve"> (</w:t>
      </w:r>
      <w:r w:rsidR="006709CC">
        <w:t>API</w:t>
      </w:r>
      <w:r w:rsidR="006F6B23">
        <w:t>) as an input d</w:t>
      </w:r>
      <w:r w:rsidR="006709CC">
        <w:t>erived from the machine learning algorithms and can be utilized in predicting the direction of the cl</w:t>
      </w:r>
      <w:r w:rsidR="006F6B23">
        <w:t>ose price for any stock in the b</w:t>
      </w:r>
      <w:r w:rsidR="006709CC">
        <w:t xml:space="preserve">anking sector. Any stock on the stock market can utilize the same procedure to forecast buy or </w:t>
      </w:r>
      <w:r w:rsidR="0063176A">
        <w:t>not to buy</w:t>
      </w:r>
      <w:r w:rsidR="006709CC">
        <w:t xml:space="preserve"> choices, which is helpful.</w:t>
      </w:r>
    </w:p>
    <w:p w:rsidR="00AD799D" w:rsidRDefault="00AD799D" w:rsidP="00AD799D">
      <w:pPr>
        <w:pStyle w:val="Heading1"/>
      </w:pPr>
      <w:r w:rsidRPr="002E6508">
        <w:t>R</w:t>
      </w:r>
      <w:r>
        <w:t>ECOMMENDATIONS</w:t>
      </w:r>
    </w:p>
    <w:p w:rsidR="00AD799D" w:rsidRDefault="00AD799D" w:rsidP="00AD799D">
      <w:pPr>
        <w:pStyle w:val="BodyText"/>
        <w:ind w:firstLine="0"/>
      </w:pPr>
      <w:r w:rsidRPr="0018018F">
        <w:t>This paper has not discussed how to address one major</w:t>
      </w:r>
      <w:r>
        <w:t xml:space="preserve"> </w:t>
      </w:r>
      <w:r w:rsidRPr="0018018F">
        <w:t>drawback of stock prediction, namely that over different</w:t>
      </w:r>
      <w:r w:rsidR="00163BEF">
        <w:t xml:space="preserve"> </w:t>
      </w:r>
      <w:r w:rsidRPr="0018018F">
        <w:t>periods the stock returns can change drastically</w:t>
      </w:r>
      <w:r>
        <w:t>.</w:t>
      </w:r>
    </w:p>
    <w:p w:rsidR="00BD5802" w:rsidRDefault="00AD799D" w:rsidP="00CE3EB0">
      <w:pPr>
        <w:pStyle w:val="BodyText"/>
      </w:pPr>
      <w:r w:rsidRPr="0018018F">
        <w:t xml:space="preserve">In future </w:t>
      </w:r>
      <w:r w:rsidR="002F29ED" w:rsidRPr="002F29ED">
        <w:t>research work</w:t>
      </w:r>
      <w:r w:rsidRPr="0018018F">
        <w:t>,</w:t>
      </w:r>
      <w:r w:rsidR="00B343E2">
        <w:t xml:space="preserve"> it can be shown how to define bullish and b</w:t>
      </w:r>
      <w:r w:rsidRPr="0018018F">
        <w:t>earish regimes using modern ma</w:t>
      </w:r>
      <w:r w:rsidR="00520F7A">
        <w:t>chine learning techniques. The sentiment analysis a</w:t>
      </w:r>
      <w:r w:rsidRPr="0018018F">
        <w:t xml:space="preserve">pproach may also </w:t>
      </w:r>
      <w:r w:rsidR="00520F7A">
        <w:t>need to be explored using text a</w:t>
      </w:r>
      <w:r w:rsidRPr="0018018F">
        <w:t>nalytics for predictin</w:t>
      </w:r>
      <w:r w:rsidR="00520F7A">
        <w:t>g stock market returns. In the future, there is a deployment d</w:t>
      </w:r>
      <w:r w:rsidRPr="0018018F">
        <w:t>ashboard proposed. An in</w:t>
      </w:r>
      <w:r w:rsidR="00520F7A">
        <w:t>telligent automated system for options t</w:t>
      </w:r>
      <w:r w:rsidRPr="0018018F">
        <w:t>rading would be also the next step forward.</w:t>
      </w:r>
    </w:p>
    <w:p w:rsidR="009303D9" w:rsidRDefault="009303D9" w:rsidP="00A059B3">
      <w:pPr>
        <w:pStyle w:val="Heading5"/>
      </w:pPr>
      <w:r w:rsidRPr="005B520E">
        <w:t>References</w:t>
      </w:r>
    </w:p>
    <w:p w:rsidR="006F6B23" w:rsidRPr="006F6B23" w:rsidRDefault="0078210C" w:rsidP="006F6B23">
      <w:pPr>
        <w:widowControl w:val="0"/>
        <w:autoSpaceDE w:val="0"/>
        <w:autoSpaceDN w:val="0"/>
        <w:adjustRightInd w:val="0"/>
        <w:ind w:left="640" w:hanging="640"/>
        <w:jc w:val="both"/>
        <w:rPr>
          <w:noProof/>
          <w:szCs w:val="24"/>
        </w:rPr>
      </w:pPr>
      <w:r>
        <w:fldChar w:fldCharType="begin" w:fldLock="1"/>
      </w:r>
      <w:r w:rsidR="006F6B23">
        <w:instrText xml:space="preserve">ADDIN Mendeley Bibliography CSL_BIBLIOGRAPHY </w:instrText>
      </w:r>
      <w:r>
        <w:fldChar w:fldCharType="separate"/>
      </w:r>
      <w:r w:rsidR="006F6B23" w:rsidRPr="006F6B23">
        <w:rPr>
          <w:noProof/>
          <w:szCs w:val="24"/>
        </w:rPr>
        <w:t>[1]</w:t>
      </w:r>
      <w:r w:rsidR="006F6B23" w:rsidRPr="006F6B23">
        <w:rPr>
          <w:noProof/>
          <w:szCs w:val="24"/>
        </w:rPr>
        <w:tab/>
        <w:t xml:space="preserve">D. Shah, H. Isah, and F. Zulkernine, “Stock market analysis: A review and taxonomy of prediction techniques,” </w:t>
      </w:r>
      <w:r w:rsidR="006F6B23" w:rsidRPr="006F6B23">
        <w:rPr>
          <w:i/>
          <w:iCs/>
          <w:noProof/>
          <w:szCs w:val="24"/>
        </w:rPr>
        <w:t>Int. J. Financ. Stud.</w:t>
      </w:r>
      <w:r w:rsidR="006F6B23" w:rsidRPr="006F6B23">
        <w:rPr>
          <w:noProof/>
          <w:szCs w:val="24"/>
        </w:rPr>
        <w:t>, vol. 7, no. 2, 2019, doi: 10.3390/ijfs7020026.</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[2]</w:t>
      </w:r>
      <w:r w:rsidRPr="006F6B23">
        <w:rPr>
          <w:noProof/>
          <w:szCs w:val="24"/>
        </w:rPr>
        <w:tab/>
        <w:t xml:space="preserve">P. Sonkiya, V. Bajpai, and A. Bansal, “Stock price </w:t>
      </w:r>
      <w:r w:rsidRPr="006F6B23">
        <w:rPr>
          <w:noProof/>
          <w:szCs w:val="24"/>
        </w:rPr>
        <w:lastRenderedPageBreak/>
        <w:t>prediction using BERT and GAN,” 2021, [Online]. Available: http://arxiv.org/abs/2107.09055</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[3]</w:t>
      </w:r>
      <w:r w:rsidRPr="006F6B23">
        <w:rPr>
          <w:noProof/>
          <w:szCs w:val="24"/>
        </w:rPr>
        <w:tab/>
        <w:t xml:space="preserve">Y. Huang, L. F. Capretz, and D. Ho, “Machine Learning for Stock Prediction Based on Fundamental Analysis,” </w:t>
      </w:r>
      <w:r w:rsidRPr="006F6B23">
        <w:rPr>
          <w:i/>
          <w:iCs/>
          <w:noProof/>
          <w:szCs w:val="24"/>
        </w:rPr>
        <w:t>2021 IEEE Symp. Ser. Comput. Intell. SSCI 2021 - Proc.</w:t>
      </w:r>
      <w:r w:rsidRPr="006F6B23">
        <w:rPr>
          <w:noProof/>
          <w:szCs w:val="24"/>
        </w:rPr>
        <w:t>, 2021, doi: 10.1109/SSCI50451.2021.9660134.</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[4]</w:t>
      </w:r>
      <w:r w:rsidRPr="006F6B23">
        <w:rPr>
          <w:noProof/>
          <w:szCs w:val="24"/>
        </w:rPr>
        <w:tab/>
        <w:t xml:space="preserve">N. Rouf </w:t>
      </w:r>
      <w:r w:rsidRPr="006F6B23">
        <w:rPr>
          <w:i/>
          <w:iCs/>
          <w:noProof/>
          <w:szCs w:val="24"/>
        </w:rPr>
        <w:t>et al.</w:t>
      </w:r>
      <w:r w:rsidRPr="006F6B23">
        <w:rPr>
          <w:noProof/>
          <w:szCs w:val="24"/>
        </w:rPr>
        <w:t xml:space="preserve">, “Stock market prediction using machine learning techniques: A decade survey on methodologies, recent developments, and future directions,” </w:t>
      </w:r>
      <w:r w:rsidRPr="006F6B23">
        <w:rPr>
          <w:i/>
          <w:iCs/>
          <w:noProof/>
          <w:szCs w:val="24"/>
        </w:rPr>
        <w:t>Electron.</w:t>
      </w:r>
      <w:r w:rsidRPr="006F6B23">
        <w:rPr>
          <w:noProof/>
          <w:szCs w:val="24"/>
        </w:rPr>
        <w:t>, vol. 10, no. 21, 2021, doi: 10.3390/electronics10212717.</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[5]</w:t>
      </w:r>
      <w:r w:rsidRPr="006F6B23">
        <w:rPr>
          <w:noProof/>
          <w:szCs w:val="24"/>
        </w:rPr>
        <w:tab/>
        <w:t xml:space="preserve">A. Rajkar, A. Kumaria, A. Raut, and N. Kulkarni, “Stock Market Price Prediction and Analysis,” </w:t>
      </w:r>
      <w:r w:rsidRPr="006F6B23">
        <w:rPr>
          <w:i/>
          <w:iCs/>
          <w:noProof/>
          <w:szCs w:val="24"/>
        </w:rPr>
        <w:t>Int. J. Eng. Res. Technol.</w:t>
      </w:r>
      <w:r w:rsidRPr="006F6B23">
        <w:rPr>
          <w:noProof/>
          <w:szCs w:val="24"/>
        </w:rPr>
        <w:t>, vol. 10, no. 06, pp. 115–119, 2021.</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[6]</w:t>
      </w:r>
      <w:r w:rsidRPr="006F6B23">
        <w:rPr>
          <w:noProof/>
          <w:szCs w:val="24"/>
        </w:rPr>
        <w:tab/>
        <w:t xml:space="preserve">B. A. Elbialy, “The Effect of Using Technical and Fundamental Analysis on the Effectiveness of Investment Decisions of Traders on the Egyptian Stock Exchange,” </w:t>
      </w:r>
      <w:r w:rsidRPr="006F6B23">
        <w:rPr>
          <w:i/>
          <w:iCs/>
          <w:noProof/>
          <w:szCs w:val="24"/>
        </w:rPr>
        <w:t>Int. J. Appl. Eng. Res.</w:t>
      </w:r>
      <w:r w:rsidRPr="006F6B23">
        <w:rPr>
          <w:noProof/>
          <w:szCs w:val="24"/>
        </w:rPr>
        <w:t>, vol. 14, no. 24, pp. 4492–4501, 2019, [Online]. Available: http://www.ripublication.com</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[7]</w:t>
      </w:r>
      <w:r w:rsidRPr="006F6B23">
        <w:rPr>
          <w:noProof/>
          <w:szCs w:val="24"/>
        </w:rPr>
        <w:tab/>
        <w:t xml:space="preserve">G. S. Thanekar and Z. S. Shaikh, “Analysis and Evaluation of Technical Indicators for Prediction of Stock Market,” </w:t>
      </w:r>
      <w:r w:rsidRPr="006F6B23">
        <w:rPr>
          <w:i/>
          <w:iCs/>
          <w:noProof/>
          <w:szCs w:val="24"/>
        </w:rPr>
        <w:t>Int. J. Eng. Res. Technol.</w:t>
      </w:r>
      <w:r w:rsidRPr="006F6B23">
        <w:rPr>
          <w:noProof/>
          <w:szCs w:val="24"/>
        </w:rPr>
        <w:t>, vol. 10, no. May, pp. 341–344, 2021.</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[8]</w:t>
      </w:r>
      <w:r w:rsidRPr="006F6B23">
        <w:rPr>
          <w:noProof/>
          <w:szCs w:val="24"/>
        </w:rPr>
        <w:tab/>
        <w:t xml:space="preserve">A. Kimbonguila, L. Matos, J. Petit, J. Scher, and J.-M. Nzikou, “Effect of Physical Treatment on the Physicochemical, Rheological and Functional Properties of Yam Meal of the Cultivar ‘Ngumvu’ From Dioscorea Alata L. of Congo,” </w:t>
      </w:r>
      <w:r w:rsidRPr="006F6B23">
        <w:rPr>
          <w:i/>
          <w:iCs/>
          <w:noProof/>
          <w:szCs w:val="24"/>
        </w:rPr>
        <w:t>Int. J. Recent Sci. Res.</w:t>
      </w:r>
      <w:r w:rsidRPr="006F6B23">
        <w:rPr>
          <w:noProof/>
          <w:szCs w:val="24"/>
        </w:rPr>
        <w:t>, vol. 10, pp. 30693–30695, 2019, doi: 10.24327/IJRSR.</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[9]</w:t>
      </w:r>
      <w:r w:rsidRPr="006F6B23">
        <w:rPr>
          <w:noProof/>
          <w:szCs w:val="24"/>
        </w:rPr>
        <w:tab/>
        <w:t xml:space="preserve">K. B. Hansen, “The virtue of simplicity: On machine learning models in algorithmic trading,” </w:t>
      </w:r>
      <w:r w:rsidRPr="006F6B23">
        <w:rPr>
          <w:i/>
          <w:iCs/>
          <w:noProof/>
          <w:szCs w:val="24"/>
        </w:rPr>
        <w:t>Big Data Soc.</w:t>
      </w:r>
      <w:r w:rsidRPr="006F6B23">
        <w:rPr>
          <w:noProof/>
          <w:szCs w:val="24"/>
        </w:rPr>
        <w:t>, vol. 7, no. 1, 2020, doi: 10.1177/2053951720926558.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[10]</w:t>
      </w:r>
      <w:r w:rsidRPr="006F6B23">
        <w:rPr>
          <w:noProof/>
          <w:szCs w:val="24"/>
        </w:rPr>
        <w:tab/>
        <w:t xml:space="preserve">P. Mukerji, C. Chung, T. Walsh, and B. Xiong, “The Impact of Algorithmic Trading in a Simulated Asset Market,” </w:t>
      </w:r>
      <w:r w:rsidRPr="006F6B23">
        <w:rPr>
          <w:i/>
          <w:iCs/>
          <w:noProof/>
          <w:szCs w:val="24"/>
        </w:rPr>
        <w:t>J. Risk Financ. Manag.</w:t>
      </w:r>
      <w:r w:rsidRPr="006F6B23">
        <w:rPr>
          <w:noProof/>
          <w:szCs w:val="24"/>
        </w:rPr>
        <w:t>, vol. 12, no. 2, p. 68, 2019, doi: 10.3390/jrfm12020068.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[11]</w:t>
      </w:r>
      <w:r w:rsidRPr="006F6B23">
        <w:rPr>
          <w:noProof/>
          <w:szCs w:val="24"/>
        </w:rPr>
        <w:tab/>
        <w:t xml:space="preserve">W. A. Omta </w:t>
      </w:r>
      <w:r w:rsidRPr="006F6B23">
        <w:rPr>
          <w:i/>
          <w:iCs/>
          <w:noProof/>
          <w:szCs w:val="24"/>
        </w:rPr>
        <w:t>et al.</w:t>
      </w:r>
      <w:r w:rsidRPr="006F6B23">
        <w:rPr>
          <w:noProof/>
          <w:szCs w:val="24"/>
        </w:rPr>
        <w:t xml:space="preserve">, “Combining Supervised and Unsupervised Machine Learning Methods for Phenotypic Functional Genomics Screening,” </w:t>
      </w:r>
      <w:r w:rsidRPr="006F6B23">
        <w:rPr>
          <w:i/>
          <w:iCs/>
          <w:noProof/>
          <w:szCs w:val="24"/>
        </w:rPr>
        <w:t>SLAS Discov.</w:t>
      </w:r>
      <w:r w:rsidRPr="006F6B23">
        <w:rPr>
          <w:noProof/>
          <w:szCs w:val="24"/>
        </w:rPr>
        <w:t>, vol. 25, no. 6, pp. 655–664, 2020, doi: 10.1177/2472555220919345.</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[12]</w:t>
      </w:r>
      <w:r w:rsidRPr="006F6B23">
        <w:rPr>
          <w:noProof/>
          <w:szCs w:val="24"/>
        </w:rPr>
        <w:tab/>
        <w:t xml:space="preserve">A. Alhomadi, “Forecasting stock market prices : A machine learning approach,” </w:t>
      </w:r>
      <w:r w:rsidRPr="006F6B23">
        <w:rPr>
          <w:i/>
          <w:iCs/>
          <w:noProof/>
          <w:szCs w:val="24"/>
        </w:rPr>
        <w:t>Digit. Commons</w:t>
      </w:r>
      <w:r w:rsidRPr="006F6B23">
        <w:rPr>
          <w:noProof/>
          <w:szCs w:val="24"/>
        </w:rPr>
        <w:t>, vol. 11, no. 2, pp. 16–36, 2021.</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[13]</w:t>
      </w:r>
      <w:r w:rsidRPr="006F6B23">
        <w:rPr>
          <w:noProof/>
          <w:szCs w:val="24"/>
        </w:rPr>
        <w:tab/>
        <w:t xml:space="preserve">A. N. Dar, “PRINCIPAL COMPONENT ANALYSIS (PCA) (Using Eigen Decomposition),” </w:t>
      </w:r>
      <w:r w:rsidRPr="006F6B23">
        <w:rPr>
          <w:i/>
          <w:iCs/>
          <w:noProof/>
          <w:szCs w:val="24"/>
        </w:rPr>
        <w:t>Gsj</w:t>
      </w:r>
      <w:r w:rsidRPr="006F6B23">
        <w:rPr>
          <w:noProof/>
          <w:szCs w:val="24"/>
        </w:rPr>
        <w:t>, vol. 9, no. 7, pp. 240–252, 2021, [Online]. Available: www.globalscientificjournal.com</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[14]</w:t>
      </w:r>
      <w:r w:rsidRPr="006F6B23">
        <w:rPr>
          <w:noProof/>
          <w:szCs w:val="24"/>
        </w:rPr>
        <w:tab/>
        <w:t xml:space="preserve">Z. A. A. Al-Bairmani and A. A. Ismael, “Using Logistic Regression Model to Study the Most Important Factors Which Affects Diabetes for the Elderly in the City of Hilla / 2019,” </w:t>
      </w:r>
      <w:r w:rsidRPr="006F6B23">
        <w:rPr>
          <w:i/>
          <w:iCs/>
          <w:noProof/>
          <w:szCs w:val="24"/>
        </w:rPr>
        <w:t>J. Phys. Conf. Ser.</w:t>
      </w:r>
      <w:r w:rsidRPr="006F6B23">
        <w:rPr>
          <w:noProof/>
          <w:szCs w:val="24"/>
        </w:rPr>
        <w:t>, vol. 1818, no. 1, 2021, doi: 10.1088/1742-6596/1818/1/012016.</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[15]</w:t>
      </w:r>
      <w:r w:rsidRPr="006F6B23">
        <w:rPr>
          <w:noProof/>
          <w:szCs w:val="24"/>
        </w:rPr>
        <w:tab/>
        <w:t xml:space="preserve">M. Jena and S. Dehuri, “Decision tree for classification and regression: A state-of-the art review,” </w:t>
      </w:r>
      <w:r w:rsidRPr="006F6B23">
        <w:rPr>
          <w:i/>
          <w:iCs/>
          <w:noProof/>
          <w:szCs w:val="24"/>
        </w:rPr>
        <w:t>Inform.</w:t>
      </w:r>
      <w:r w:rsidRPr="006F6B23">
        <w:rPr>
          <w:noProof/>
          <w:szCs w:val="24"/>
        </w:rPr>
        <w:t xml:space="preserve">, vol. 44, no. 4, pp. 405–420, 2020, </w:t>
      </w:r>
      <w:r w:rsidRPr="006F6B23">
        <w:rPr>
          <w:noProof/>
          <w:szCs w:val="24"/>
        </w:rPr>
        <w:lastRenderedPageBreak/>
        <w:t>doi: 10.31449/INF.V44I4.3023.</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[16]</w:t>
      </w:r>
      <w:r w:rsidRPr="006F6B23">
        <w:rPr>
          <w:noProof/>
          <w:szCs w:val="24"/>
        </w:rPr>
        <w:tab/>
        <w:t xml:space="preserve">M. Schonlau and R. Y. Zou, “The random forest algorithm for statistical learning,” </w:t>
      </w:r>
      <w:r w:rsidRPr="006F6B23">
        <w:rPr>
          <w:i/>
          <w:iCs/>
          <w:noProof/>
          <w:szCs w:val="24"/>
        </w:rPr>
        <w:t>Stata J.</w:t>
      </w:r>
      <w:r w:rsidRPr="006F6B23">
        <w:rPr>
          <w:noProof/>
          <w:szCs w:val="24"/>
        </w:rPr>
        <w:t>, vol. 20, no. 1, pp. 3–29, 2020, doi: 10.1177/1536867X20909688.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[17]</w:t>
      </w:r>
      <w:r w:rsidRPr="006F6B23">
        <w:rPr>
          <w:noProof/>
          <w:szCs w:val="24"/>
        </w:rPr>
        <w:tab/>
        <w:t xml:space="preserve">L. Wang, “Research and Implementation of Machine Learning Classifier Based on KNN,” </w:t>
      </w:r>
      <w:r w:rsidRPr="006F6B23">
        <w:rPr>
          <w:i/>
          <w:iCs/>
          <w:noProof/>
          <w:szCs w:val="24"/>
        </w:rPr>
        <w:t>IOP Conf. Ser. Mater. Sci. Eng.</w:t>
      </w:r>
      <w:r w:rsidRPr="006F6B23">
        <w:rPr>
          <w:noProof/>
          <w:szCs w:val="24"/>
        </w:rPr>
        <w:t>, vol. 677, no. 5, pp. 0–5, 2019, doi: 10.1088/1757-899X/677/5/052038.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[18]</w:t>
      </w:r>
      <w:r w:rsidRPr="006F6B23">
        <w:rPr>
          <w:noProof/>
          <w:szCs w:val="24"/>
        </w:rPr>
        <w:tab/>
        <w:t xml:space="preserve">P. Zhang, Y. Jia, and Y. Shang, “Research and application of XGBoost in imbalanced data,” </w:t>
      </w:r>
      <w:r w:rsidRPr="006F6B23">
        <w:rPr>
          <w:i/>
          <w:iCs/>
          <w:noProof/>
          <w:szCs w:val="24"/>
        </w:rPr>
        <w:t>Int. J. Distrib. Sens. Networks</w:t>
      </w:r>
      <w:r w:rsidRPr="006F6B23">
        <w:rPr>
          <w:noProof/>
          <w:szCs w:val="24"/>
        </w:rPr>
        <w:t>, vol. 18, no. 6, 2022, doi: 10.1177/15501329221106935.</w:t>
      </w:r>
    </w:p>
    <w:p w:rsidR="006F6B23" w:rsidRPr="006F6B23" w:rsidRDefault="006F6B23" w:rsidP="006F6B23">
      <w:pPr>
        <w:widowControl w:val="0"/>
        <w:autoSpaceDE w:val="0"/>
        <w:autoSpaceDN w:val="0"/>
        <w:adjustRightInd w:val="0"/>
        <w:ind w:left="640" w:hanging="640"/>
        <w:jc w:val="both"/>
        <w:rPr>
          <w:noProof/>
        </w:rPr>
      </w:pPr>
      <w:r w:rsidRPr="006F6B23">
        <w:rPr>
          <w:noProof/>
          <w:szCs w:val="24"/>
        </w:rPr>
        <w:t>[19]</w:t>
      </w:r>
      <w:r w:rsidRPr="006F6B23">
        <w:rPr>
          <w:noProof/>
          <w:szCs w:val="24"/>
        </w:rPr>
        <w:tab/>
        <w:t xml:space="preserve">I. Markoulidakis, G. Kopsiaftis, I. Rallis, and I. Georgoulas, “Multi-Class Confusion Matrix Reduction method and its application on Net Promoter Score classification problem,” </w:t>
      </w:r>
      <w:r w:rsidRPr="006F6B23">
        <w:rPr>
          <w:i/>
          <w:iCs/>
          <w:noProof/>
          <w:szCs w:val="24"/>
        </w:rPr>
        <w:t>ACM Int. Conf. Proceeding Ser.</w:t>
      </w:r>
      <w:r w:rsidRPr="006F6B23">
        <w:rPr>
          <w:noProof/>
          <w:szCs w:val="24"/>
        </w:rPr>
        <w:t>, pp. 412–419, 2021, doi: 10.1145/3453892.3461323.</w:t>
      </w:r>
    </w:p>
    <w:p w:rsidR="006F6B23" w:rsidRPr="006F6B23" w:rsidRDefault="0078210C" w:rsidP="006F6B23">
      <w:pPr>
        <w:jc w:val="both"/>
      </w:pPr>
      <w:r>
        <w:fldChar w:fldCharType="end"/>
      </w:r>
    </w:p>
    <w:sectPr w:rsidR="006F6B23" w:rsidRPr="006F6B23"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016" w:rsidRDefault="001E4016" w:rsidP="001A3B3D">
      <w:r>
        <w:separator/>
      </w:r>
    </w:p>
  </w:endnote>
  <w:endnote w:type="continuationSeparator" w:id="1">
    <w:p w:rsidR="001E4016" w:rsidRDefault="001E4016"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016" w:rsidRDefault="001E4016" w:rsidP="001A3B3D">
      <w:r>
        <w:separator/>
      </w:r>
    </w:p>
  </w:footnote>
  <w:footnote w:type="continuationSeparator" w:id="1">
    <w:p w:rsidR="001E4016" w:rsidRDefault="001E4016"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defaultTabStop w:val="720"/>
  <w:doNotHyphenateCaps/>
  <w:characterSpacingControl w:val="doNotCompress"/>
  <w:doNotValidateAgainstSchema/>
  <w:doNotDemarcateInvalidXml/>
  <w:hdrShapeDefaults>
    <o:shapedefaults v:ext="edit" spidmax="67586"/>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sqgFAPnIbFotAAAA"/>
  </w:docVars>
  <w:rsids>
    <w:rsidRoot w:val="009303D9"/>
    <w:rsid w:val="00003B89"/>
    <w:rsid w:val="000042E7"/>
    <w:rsid w:val="00006DAC"/>
    <w:rsid w:val="00012FCA"/>
    <w:rsid w:val="00013FCE"/>
    <w:rsid w:val="000229D3"/>
    <w:rsid w:val="00024FFE"/>
    <w:rsid w:val="00025778"/>
    <w:rsid w:val="00027F00"/>
    <w:rsid w:val="00040EDA"/>
    <w:rsid w:val="00041BEC"/>
    <w:rsid w:val="000426D9"/>
    <w:rsid w:val="0004781E"/>
    <w:rsid w:val="000509FD"/>
    <w:rsid w:val="00055497"/>
    <w:rsid w:val="0005593F"/>
    <w:rsid w:val="00060E5C"/>
    <w:rsid w:val="000868EC"/>
    <w:rsid w:val="0008758A"/>
    <w:rsid w:val="00097A7C"/>
    <w:rsid w:val="000A07D1"/>
    <w:rsid w:val="000A67FC"/>
    <w:rsid w:val="000A74DE"/>
    <w:rsid w:val="000B1883"/>
    <w:rsid w:val="000B1C2A"/>
    <w:rsid w:val="000B40B5"/>
    <w:rsid w:val="000C0747"/>
    <w:rsid w:val="000C1E68"/>
    <w:rsid w:val="00103365"/>
    <w:rsid w:val="0011316C"/>
    <w:rsid w:val="00123271"/>
    <w:rsid w:val="00123F88"/>
    <w:rsid w:val="00132322"/>
    <w:rsid w:val="001366A8"/>
    <w:rsid w:val="0014015D"/>
    <w:rsid w:val="00140512"/>
    <w:rsid w:val="001408FA"/>
    <w:rsid w:val="001438A3"/>
    <w:rsid w:val="00145B99"/>
    <w:rsid w:val="00153C1D"/>
    <w:rsid w:val="001544FA"/>
    <w:rsid w:val="00160D26"/>
    <w:rsid w:val="00163BEF"/>
    <w:rsid w:val="0018018F"/>
    <w:rsid w:val="001869D0"/>
    <w:rsid w:val="00193373"/>
    <w:rsid w:val="0019384C"/>
    <w:rsid w:val="00193A5F"/>
    <w:rsid w:val="001A2EFD"/>
    <w:rsid w:val="001A3B3D"/>
    <w:rsid w:val="001B67DC"/>
    <w:rsid w:val="001C2249"/>
    <w:rsid w:val="001E01CB"/>
    <w:rsid w:val="001E207B"/>
    <w:rsid w:val="001E4016"/>
    <w:rsid w:val="001F04AF"/>
    <w:rsid w:val="001F3948"/>
    <w:rsid w:val="002023D0"/>
    <w:rsid w:val="0020666A"/>
    <w:rsid w:val="0022022C"/>
    <w:rsid w:val="002239E9"/>
    <w:rsid w:val="00223C57"/>
    <w:rsid w:val="002254A9"/>
    <w:rsid w:val="00233D97"/>
    <w:rsid w:val="002347A2"/>
    <w:rsid w:val="00240F15"/>
    <w:rsid w:val="0024145E"/>
    <w:rsid w:val="00246EA0"/>
    <w:rsid w:val="00250BE4"/>
    <w:rsid w:val="00253132"/>
    <w:rsid w:val="00256F84"/>
    <w:rsid w:val="00257BAC"/>
    <w:rsid w:val="002631D8"/>
    <w:rsid w:val="00271487"/>
    <w:rsid w:val="002850E3"/>
    <w:rsid w:val="002865E7"/>
    <w:rsid w:val="00290C82"/>
    <w:rsid w:val="0029137C"/>
    <w:rsid w:val="002A045F"/>
    <w:rsid w:val="002A0A6A"/>
    <w:rsid w:val="002A45EA"/>
    <w:rsid w:val="002A5BFB"/>
    <w:rsid w:val="002B0972"/>
    <w:rsid w:val="002B0F4D"/>
    <w:rsid w:val="002B1400"/>
    <w:rsid w:val="002B1A22"/>
    <w:rsid w:val="002B2A78"/>
    <w:rsid w:val="002C0627"/>
    <w:rsid w:val="002C2878"/>
    <w:rsid w:val="002D00F0"/>
    <w:rsid w:val="002D205C"/>
    <w:rsid w:val="002E6508"/>
    <w:rsid w:val="002E6CC9"/>
    <w:rsid w:val="002F20C7"/>
    <w:rsid w:val="002F29ED"/>
    <w:rsid w:val="002F502B"/>
    <w:rsid w:val="0030065F"/>
    <w:rsid w:val="00302062"/>
    <w:rsid w:val="0030705A"/>
    <w:rsid w:val="003106E8"/>
    <w:rsid w:val="003120F6"/>
    <w:rsid w:val="003125F0"/>
    <w:rsid w:val="00323F60"/>
    <w:rsid w:val="003274DB"/>
    <w:rsid w:val="003406C6"/>
    <w:rsid w:val="00341C47"/>
    <w:rsid w:val="00353721"/>
    <w:rsid w:val="00354FCF"/>
    <w:rsid w:val="00357D56"/>
    <w:rsid w:val="0036154F"/>
    <w:rsid w:val="00363FA4"/>
    <w:rsid w:val="0036570D"/>
    <w:rsid w:val="00387509"/>
    <w:rsid w:val="003A19E2"/>
    <w:rsid w:val="003A3C24"/>
    <w:rsid w:val="003A55A8"/>
    <w:rsid w:val="003A6C84"/>
    <w:rsid w:val="003A75B3"/>
    <w:rsid w:val="003B2B40"/>
    <w:rsid w:val="003B4E04"/>
    <w:rsid w:val="003C2384"/>
    <w:rsid w:val="003D26EB"/>
    <w:rsid w:val="003D5A39"/>
    <w:rsid w:val="003E04E6"/>
    <w:rsid w:val="003E6B59"/>
    <w:rsid w:val="003F5A08"/>
    <w:rsid w:val="00415041"/>
    <w:rsid w:val="00420716"/>
    <w:rsid w:val="004255E2"/>
    <w:rsid w:val="004325FB"/>
    <w:rsid w:val="004332C9"/>
    <w:rsid w:val="00433702"/>
    <w:rsid w:val="00433EAB"/>
    <w:rsid w:val="004372B0"/>
    <w:rsid w:val="004432BA"/>
    <w:rsid w:val="0044407E"/>
    <w:rsid w:val="00445EC8"/>
    <w:rsid w:val="00446539"/>
    <w:rsid w:val="00447BB9"/>
    <w:rsid w:val="0046031D"/>
    <w:rsid w:val="00465D34"/>
    <w:rsid w:val="004700AF"/>
    <w:rsid w:val="00473AC9"/>
    <w:rsid w:val="00475FAC"/>
    <w:rsid w:val="00476A2E"/>
    <w:rsid w:val="004777A2"/>
    <w:rsid w:val="004827B8"/>
    <w:rsid w:val="00494C68"/>
    <w:rsid w:val="004C0745"/>
    <w:rsid w:val="004C476B"/>
    <w:rsid w:val="004D449D"/>
    <w:rsid w:val="004D72B5"/>
    <w:rsid w:val="004E188B"/>
    <w:rsid w:val="004E3826"/>
    <w:rsid w:val="004E509E"/>
    <w:rsid w:val="004F11DC"/>
    <w:rsid w:val="00501F8D"/>
    <w:rsid w:val="00504F48"/>
    <w:rsid w:val="00510E5C"/>
    <w:rsid w:val="005120A8"/>
    <w:rsid w:val="00515FC4"/>
    <w:rsid w:val="00520F7A"/>
    <w:rsid w:val="0052265F"/>
    <w:rsid w:val="00530B02"/>
    <w:rsid w:val="005418EE"/>
    <w:rsid w:val="005454E2"/>
    <w:rsid w:val="00545C24"/>
    <w:rsid w:val="00551B7F"/>
    <w:rsid w:val="00556C75"/>
    <w:rsid w:val="0056610F"/>
    <w:rsid w:val="00567434"/>
    <w:rsid w:val="00575BCA"/>
    <w:rsid w:val="0058641D"/>
    <w:rsid w:val="00594284"/>
    <w:rsid w:val="005A08A1"/>
    <w:rsid w:val="005B0344"/>
    <w:rsid w:val="005B520E"/>
    <w:rsid w:val="005B7B04"/>
    <w:rsid w:val="005C0EFC"/>
    <w:rsid w:val="005C6B4A"/>
    <w:rsid w:val="005D2F43"/>
    <w:rsid w:val="005D4B1F"/>
    <w:rsid w:val="005D5052"/>
    <w:rsid w:val="005E26F7"/>
    <w:rsid w:val="005E2800"/>
    <w:rsid w:val="005F2067"/>
    <w:rsid w:val="005F3D4D"/>
    <w:rsid w:val="005F440F"/>
    <w:rsid w:val="005F4A26"/>
    <w:rsid w:val="00605825"/>
    <w:rsid w:val="00611410"/>
    <w:rsid w:val="00612825"/>
    <w:rsid w:val="00623B30"/>
    <w:rsid w:val="0063009D"/>
    <w:rsid w:val="00631250"/>
    <w:rsid w:val="0063176A"/>
    <w:rsid w:val="006420A7"/>
    <w:rsid w:val="00645D22"/>
    <w:rsid w:val="00650B87"/>
    <w:rsid w:val="00651A08"/>
    <w:rsid w:val="00654204"/>
    <w:rsid w:val="0066132A"/>
    <w:rsid w:val="00662F6A"/>
    <w:rsid w:val="006701A5"/>
    <w:rsid w:val="00670434"/>
    <w:rsid w:val="006704DB"/>
    <w:rsid w:val="006709CC"/>
    <w:rsid w:val="00671297"/>
    <w:rsid w:val="006771B1"/>
    <w:rsid w:val="00683163"/>
    <w:rsid w:val="00687269"/>
    <w:rsid w:val="006A0BB6"/>
    <w:rsid w:val="006A6F02"/>
    <w:rsid w:val="006B14B9"/>
    <w:rsid w:val="006B327E"/>
    <w:rsid w:val="006B663E"/>
    <w:rsid w:val="006B6B66"/>
    <w:rsid w:val="006B6C2E"/>
    <w:rsid w:val="006C111C"/>
    <w:rsid w:val="006C29BC"/>
    <w:rsid w:val="006C2C62"/>
    <w:rsid w:val="006C3142"/>
    <w:rsid w:val="006C7E6C"/>
    <w:rsid w:val="006E1CEF"/>
    <w:rsid w:val="006E46F9"/>
    <w:rsid w:val="006E4F77"/>
    <w:rsid w:val="006E7823"/>
    <w:rsid w:val="006E78C2"/>
    <w:rsid w:val="006F1FFB"/>
    <w:rsid w:val="006F544C"/>
    <w:rsid w:val="006F54F1"/>
    <w:rsid w:val="006F6B23"/>
    <w:rsid w:val="006F6D3D"/>
    <w:rsid w:val="00702CC1"/>
    <w:rsid w:val="00712391"/>
    <w:rsid w:val="00712FAD"/>
    <w:rsid w:val="00713833"/>
    <w:rsid w:val="00715BEA"/>
    <w:rsid w:val="0073319E"/>
    <w:rsid w:val="007349BC"/>
    <w:rsid w:val="00740EEA"/>
    <w:rsid w:val="00743887"/>
    <w:rsid w:val="00746BFA"/>
    <w:rsid w:val="00764199"/>
    <w:rsid w:val="0078210C"/>
    <w:rsid w:val="00794804"/>
    <w:rsid w:val="007A24A3"/>
    <w:rsid w:val="007A690D"/>
    <w:rsid w:val="007B33F1"/>
    <w:rsid w:val="007B4705"/>
    <w:rsid w:val="007B6DDA"/>
    <w:rsid w:val="007C0308"/>
    <w:rsid w:val="007C0829"/>
    <w:rsid w:val="007C0D78"/>
    <w:rsid w:val="007C2FF2"/>
    <w:rsid w:val="007D20CE"/>
    <w:rsid w:val="007D448C"/>
    <w:rsid w:val="007D6232"/>
    <w:rsid w:val="007E3AEC"/>
    <w:rsid w:val="007E560D"/>
    <w:rsid w:val="007E785B"/>
    <w:rsid w:val="007F1F99"/>
    <w:rsid w:val="007F768F"/>
    <w:rsid w:val="00800F93"/>
    <w:rsid w:val="0080791D"/>
    <w:rsid w:val="0081090D"/>
    <w:rsid w:val="00816074"/>
    <w:rsid w:val="0082171A"/>
    <w:rsid w:val="00833F46"/>
    <w:rsid w:val="00833F6D"/>
    <w:rsid w:val="00836367"/>
    <w:rsid w:val="00837561"/>
    <w:rsid w:val="00841788"/>
    <w:rsid w:val="00850424"/>
    <w:rsid w:val="008513B7"/>
    <w:rsid w:val="00860EB0"/>
    <w:rsid w:val="00862211"/>
    <w:rsid w:val="00864770"/>
    <w:rsid w:val="0087015A"/>
    <w:rsid w:val="00873603"/>
    <w:rsid w:val="00883F15"/>
    <w:rsid w:val="008A0D13"/>
    <w:rsid w:val="008A2C7D"/>
    <w:rsid w:val="008A7482"/>
    <w:rsid w:val="008A7D74"/>
    <w:rsid w:val="008B6316"/>
    <w:rsid w:val="008B6524"/>
    <w:rsid w:val="008C0DF0"/>
    <w:rsid w:val="008C4090"/>
    <w:rsid w:val="008C4B23"/>
    <w:rsid w:val="008E03B3"/>
    <w:rsid w:val="008F519E"/>
    <w:rsid w:val="008F6E2C"/>
    <w:rsid w:val="0090538F"/>
    <w:rsid w:val="00911C2B"/>
    <w:rsid w:val="00922CC9"/>
    <w:rsid w:val="009303D9"/>
    <w:rsid w:val="009326DA"/>
    <w:rsid w:val="00933C64"/>
    <w:rsid w:val="00936B27"/>
    <w:rsid w:val="00936C23"/>
    <w:rsid w:val="0094028B"/>
    <w:rsid w:val="009425B8"/>
    <w:rsid w:val="00943900"/>
    <w:rsid w:val="00970546"/>
    <w:rsid w:val="00972203"/>
    <w:rsid w:val="00976B49"/>
    <w:rsid w:val="00993B64"/>
    <w:rsid w:val="009B2A02"/>
    <w:rsid w:val="009B64E5"/>
    <w:rsid w:val="009D59DA"/>
    <w:rsid w:val="009D7B1D"/>
    <w:rsid w:val="009E0DCC"/>
    <w:rsid w:val="009E6C36"/>
    <w:rsid w:val="009F13E4"/>
    <w:rsid w:val="009F1D79"/>
    <w:rsid w:val="009F6F7B"/>
    <w:rsid w:val="00A03356"/>
    <w:rsid w:val="00A059B3"/>
    <w:rsid w:val="00A173EF"/>
    <w:rsid w:val="00A23F0C"/>
    <w:rsid w:val="00A2640C"/>
    <w:rsid w:val="00A27200"/>
    <w:rsid w:val="00A340E2"/>
    <w:rsid w:val="00A43697"/>
    <w:rsid w:val="00A4511B"/>
    <w:rsid w:val="00A55B2A"/>
    <w:rsid w:val="00A56CFC"/>
    <w:rsid w:val="00A578FF"/>
    <w:rsid w:val="00A65A51"/>
    <w:rsid w:val="00A81E93"/>
    <w:rsid w:val="00A8265D"/>
    <w:rsid w:val="00A85CDE"/>
    <w:rsid w:val="00A86D1C"/>
    <w:rsid w:val="00A86D4F"/>
    <w:rsid w:val="00AA39AE"/>
    <w:rsid w:val="00AC0117"/>
    <w:rsid w:val="00AC6915"/>
    <w:rsid w:val="00AD14B6"/>
    <w:rsid w:val="00AD737C"/>
    <w:rsid w:val="00AD799D"/>
    <w:rsid w:val="00AE3409"/>
    <w:rsid w:val="00AE428A"/>
    <w:rsid w:val="00AF3132"/>
    <w:rsid w:val="00B11A60"/>
    <w:rsid w:val="00B20EB5"/>
    <w:rsid w:val="00B22613"/>
    <w:rsid w:val="00B33D01"/>
    <w:rsid w:val="00B343E2"/>
    <w:rsid w:val="00B44A76"/>
    <w:rsid w:val="00B64644"/>
    <w:rsid w:val="00B67A8F"/>
    <w:rsid w:val="00B72025"/>
    <w:rsid w:val="00B750E5"/>
    <w:rsid w:val="00B768D1"/>
    <w:rsid w:val="00B8375B"/>
    <w:rsid w:val="00B862B5"/>
    <w:rsid w:val="00B95D60"/>
    <w:rsid w:val="00B96A65"/>
    <w:rsid w:val="00BA1025"/>
    <w:rsid w:val="00BA5C1E"/>
    <w:rsid w:val="00BA72F9"/>
    <w:rsid w:val="00BB3A83"/>
    <w:rsid w:val="00BB4F5B"/>
    <w:rsid w:val="00BC1DCB"/>
    <w:rsid w:val="00BC3420"/>
    <w:rsid w:val="00BD448D"/>
    <w:rsid w:val="00BD4744"/>
    <w:rsid w:val="00BD5802"/>
    <w:rsid w:val="00BD670B"/>
    <w:rsid w:val="00BD742F"/>
    <w:rsid w:val="00BE0321"/>
    <w:rsid w:val="00BE31E9"/>
    <w:rsid w:val="00BE3335"/>
    <w:rsid w:val="00BE3647"/>
    <w:rsid w:val="00BE7D3C"/>
    <w:rsid w:val="00BF48E3"/>
    <w:rsid w:val="00BF5FF6"/>
    <w:rsid w:val="00C01BC3"/>
    <w:rsid w:val="00C0207F"/>
    <w:rsid w:val="00C04245"/>
    <w:rsid w:val="00C07526"/>
    <w:rsid w:val="00C1147D"/>
    <w:rsid w:val="00C12B7B"/>
    <w:rsid w:val="00C14744"/>
    <w:rsid w:val="00C15486"/>
    <w:rsid w:val="00C16117"/>
    <w:rsid w:val="00C257A1"/>
    <w:rsid w:val="00C27D44"/>
    <w:rsid w:val="00C3075A"/>
    <w:rsid w:val="00C310D5"/>
    <w:rsid w:val="00C4505E"/>
    <w:rsid w:val="00C46C8A"/>
    <w:rsid w:val="00C56CC3"/>
    <w:rsid w:val="00C56F0D"/>
    <w:rsid w:val="00C57CD4"/>
    <w:rsid w:val="00C6220B"/>
    <w:rsid w:val="00C6495E"/>
    <w:rsid w:val="00C64C19"/>
    <w:rsid w:val="00C66579"/>
    <w:rsid w:val="00C66D66"/>
    <w:rsid w:val="00C67BB8"/>
    <w:rsid w:val="00C728CB"/>
    <w:rsid w:val="00C76E28"/>
    <w:rsid w:val="00C80649"/>
    <w:rsid w:val="00C80F2E"/>
    <w:rsid w:val="00C87AF6"/>
    <w:rsid w:val="00C914FB"/>
    <w:rsid w:val="00C919A4"/>
    <w:rsid w:val="00CA407F"/>
    <w:rsid w:val="00CA4392"/>
    <w:rsid w:val="00CA4DD1"/>
    <w:rsid w:val="00CB4A15"/>
    <w:rsid w:val="00CB4B5C"/>
    <w:rsid w:val="00CB7432"/>
    <w:rsid w:val="00CC393F"/>
    <w:rsid w:val="00CD25A4"/>
    <w:rsid w:val="00CD389F"/>
    <w:rsid w:val="00CE3EB0"/>
    <w:rsid w:val="00CE468F"/>
    <w:rsid w:val="00CE50F1"/>
    <w:rsid w:val="00CF67C2"/>
    <w:rsid w:val="00D06866"/>
    <w:rsid w:val="00D16CEB"/>
    <w:rsid w:val="00D2176E"/>
    <w:rsid w:val="00D225FD"/>
    <w:rsid w:val="00D22D35"/>
    <w:rsid w:val="00D25EEA"/>
    <w:rsid w:val="00D30E3D"/>
    <w:rsid w:val="00D3721A"/>
    <w:rsid w:val="00D3783B"/>
    <w:rsid w:val="00D37EC1"/>
    <w:rsid w:val="00D40FCB"/>
    <w:rsid w:val="00D433D0"/>
    <w:rsid w:val="00D44B48"/>
    <w:rsid w:val="00D50277"/>
    <w:rsid w:val="00D547B1"/>
    <w:rsid w:val="00D57A78"/>
    <w:rsid w:val="00D632BE"/>
    <w:rsid w:val="00D717F8"/>
    <w:rsid w:val="00D72D06"/>
    <w:rsid w:val="00D7522C"/>
    <w:rsid w:val="00D7536F"/>
    <w:rsid w:val="00D76668"/>
    <w:rsid w:val="00D77191"/>
    <w:rsid w:val="00D90C92"/>
    <w:rsid w:val="00D91325"/>
    <w:rsid w:val="00D91E27"/>
    <w:rsid w:val="00D92E10"/>
    <w:rsid w:val="00D97411"/>
    <w:rsid w:val="00DA7A6C"/>
    <w:rsid w:val="00DB6D24"/>
    <w:rsid w:val="00DC0026"/>
    <w:rsid w:val="00DC039E"/>
    <w:rsid w:val="00DC05C2"/>
    <w:rsid w:val="00DD3768"/>
    <w:rsid w:val="00DD5D49"/>
    <w:rsid w:val="00DE0913"/>
    <w:rsid w:val="00DE3B42"/>
    <w:rsid w:val="00DE43D0"/>
    <w:rsid w:val="00DF182A"/>
    <w:rsid w:val="00DF7E8E"/>
    <w:rsid w:val="00E0432F"/>
    <w:rsid w:val="00E05368"/>
    <w:rsid w:val="00E07383"/>
    <w:rsid w:val="00E1150D"/>
    <w:rsid w:val="00E11AED"/>
    <w:rsid w:val="00E15128"/>
    <w:rsid w:val="00E15C4B"/>
    <w:rsid w:val="00E165BC"/>
    <w:rsid w:val="00E46579"/>
    <w:rsid w:val="00E50997"/>
    <w:rsid w:val="00E53722"/>
    <w:rsid w:val="00E550C3"/>
    <w:rsid w:val="00E560AE"/>
    <w:rsid w:val="00E57195"/>
    <w:rsid w:val="00E61E12"/>
    <w:rsid w:val="00E62FB7"/>
    <w:rsid w:val="00E67DD5"/>
    <w:rsid w:val="00E72AA0"/>
    <w:rsid w:val="00E74218"/>
    <w:rsid w:val="00E7596C"/>
    <w:rsid w:val="00E84295"/>
    <w:rsid w:val="00E878F2"/>
    <w:rsid w:val="00E93B9E"/>
    <w:rsid w:val="00EA478D"/>
    <w:rsid w:val="00EA53F5"/>
    <w:rsid w:val="00EB10BC"/>
    <w:rsid w:val="00EB4D47"/>
    <w:rsid w:val="00EB7529"/>
    <w:rsid w:val="00EC5897"/>
    <w:rsid w:val="00EC6C9D"/>
    <w:rsid w:val="00EC7B9F"/>
    <w:rsid w:val="00ED0149"/>
    <w:rsid w:val="00ED67D0"/>
    <w:rsid w:val="00EE00F1"/>
    <w:rsid w:val="00EF7DE3"/>
    <w:rsid w:val="00EF7F28"/>
    <w:rsid w:val="00F00C6B"/>
    <w:rsid w:val="00F0129E"/>
    <w:rsid w:val="00F03103"/>
    <w:rsid w:val="00F10538"/>
    <w:rsid w:val="00F1183D"/>
    <w:rsid w:val="00F22BA6"/>
    <w:rsid w:val="00F2562E"/>
    <w:rsid w:val="00F271DE"/>
    <w:rsid w:val="00F35692"/>
    <w:rsid w:val="00F43004"/>
    <w:rsid w:val="00F43EFE"/>
    <w:rsid w:val="00F44B50"/>
    <w:rsid w:val="00F52BBE"/>
    <w:rsid w:val="00F568CC"/>
    <w:rsid w:val="00F627DA"/>
    <w:rsid w:val="00F70599"/>
    <w:rsid w:val="00F71FFF"/>
    <w:rsid w:val="00F7288F"/>
    <w:rsid w:val="00F764B9"/>
    <w:rsid w:val="00F800BF"/>
    <w:rsid w:val="00F82E94"/>
    <w:rsid w:val="00F847A6"/>
    <w:rsid w:val="00F86F91"/>
    <w:rsid w:val="00F9441B"/>
    <w:rsid w:val="00F97AD2"/>
    <w:rsid w:val="00FA004E"/>
    <w:rsid w:val="00FA126B"/>
    <w:rsid w:val="00FA4C32"/>
    <w:rsid w:val="00FA50CF"/>
    <w:rsid w:val="00FB0A2B"/>
    <w:rsid w:val="00FB7711"/>
    <w:rsid w:val="00FB7850"/>
    <w:rsid w:val="00FC3549"/>
    <w:rsid w:val="00FD3928"/>
    <w:rsid w:val="00FE7114"/>
    <w:rsid w:val="00FF2152"/>
    <w:rsid w:val="00FF317D"/>
    <w:rsid w:val="00FF4A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 w:type="table" w:customStyle="1" w:styleId="LightShading1">
    <w:name w:val="Light Shading1"/>
    <w:basedOn w:val="TableNormal"/>
    <w:uiPriority w:val="60"/>
    <w:rsid w:val="005F4A2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F52BBE"/>
    <w:rPr>
      <w:color w:val="808080"/>
    </w:rPr>
  </w:style>
  <w:style w:type="paragraph" w:styleId="Caption">
    <w:name w:val="caption"/>
    <w:basedOn w:val="Normal"/>
    <w:next w:val="Normal"/>
    <w:unhideWhenUsed/>
    <w:qFormat/>
    <w:rsid w:val="00FA004E"/>
    <w:pPr>
      <w:spacing w:after="200"/>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406922830">
      <w:bodyDiv w:val="1"/>
      <w:marLeft w:val="0"/>
      <w:marRight w:val="0"/>
      <w:marTop w:val="0"/>
      <w:marBottom w:val="0"/>
      <w:divBdr>
        <w:top w:val="none" w:sz="0" w:space="0" w:color="auto"/>
        <w:left w:val="none" w:sz="0" w:space="0" w:color="auto"/>
        <w:bottom w:val="none" w:sz="0" w:space="0" w:color="auto"/>
        <w:right w:val="none" w:sz="0" w:space="0" w:color="auto"/>
      </w:divBdr>
    </w:div>
    <w:div w:id="16534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22DB8-6A5A-4439-8C28-F30EF3E1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7</Pages>
  <Words>10127</Words>
  <Characters>57726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879</cp:revision>
  <dcterms:created xsi:type="dcterms:W3CDTF">2019-09-09T09:57:00Z</dcterms:created>
  <dcterms:modified xsi:type="dcterms:W3CDTF">2023-03-23T03:06:00Z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