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Ethereum,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 xml:space="preserve">The central plan of PCA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w:t>
      </w:r>
      <w:r w:rsidR="00C57CD4">
        <w:t xml:space="preserve"> [1]</w:t>
      </w:r>
      <w:r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C57CD4">
        <w:t xml:space="preserve"> [13]</w:t>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w:t>
      </w:r>
      <w:r w:rsidR="00006DAC">
        <w:t xml:space="preserve"> </w:t>
      </w:r>
      <w:r>
        <w:t>KOTAK</w:t>
      </w:r>
      <w:r w:rsidR="00006DAC">
        <w:t>,</w:t>
      </w:r>
      <w:r>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KOTAK</w:t>
      </w:r>
      <w:r w:rsidRPr="004777A2">
        <w:rPr>
          <w:rFonts w:eastAsia="Calibri"/>
        </w:rPr>
        <w:t xml:space="preserve">, </w:t>
      </w:r>
      <w:r w:rsidR="00006DAC">
        <w:rPr>
          <w:rFonts w:eastAsia="Calibri"/>
        </w:rPr>
        <w:t xml:space="preserve">and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w:t>
      </w:r>
      <w:r w:rsidR="00006DAC">
        <w:rPr>
          <w:rFonts w:eastAsia="Calibri"/>
        </w:rPr>
        <w:t xml:space="preserve">and </w:t>
      </w:r>
      <w:r>
        <w:rPr>
          <w:rFonts w:eastAsia="Calibri"/>
        </w:rPr>
        <w:t xml:space="preserve">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 xml:space="preserve">The HDFC, KOTAK, and SBI data which </w:t>
      </w:r>
      <w:r w:rsidR="00006DAC">
        <w:t>are</w:t>
      </w:r>
      <w:r>
        <w:t xml:space="preserve">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w:t>
      </w:r>
      <w:r w:rsidR="00357D56">
        <w:t>, 20,100</w:t>
      </w:r>
      <w:r>
        <w:t>, and 200</w:t>
      </w:r>
      <w:r w:rsidR="009E6C36">
        <w:t xml:space="preserve"> days.</w:t>
      </w:r>
      <w:r>
        <w:t xml:space="preserve">1 day's previous lag values of volume are also added </w:t>
      </w:r>
      <w:r w:rsidR="00387509">
        <w:t xml:space="preserve">as </w:t>
      </w:r>
      <w:r>
        <w:t>feature</w:t>
      </w:r>
      <w:r w:rsidR="00387509">
        <w:t>s</w:t>
      </w:r>
      <w:r>
        <w:t>.6</w:t>
      </w:r>
      <w:r w:rsidR="00357D56">
        <w:t>, 10, 14</w:t>
      </w:r>
      <w:r w:rsidR="00006DAC">
        <w:t>,</w:t>
      </w:r>
      <w:r>
        <w:t xml:space="preserve">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w:t>
      </w:r>
      <w:r>
        <w:lastRenderedPageBreak/>
        <w:t xml:space="preserve">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 xml:space="preserve">The Data Evaluation phase is the result of the Data Modelling phase and discusses the Metrics utilized to determine the extent of </w:t>
      </w:r>
      <w:r w:rsidR="00006DAC">
        <w:t xml:space="preserve">the </w:t>
      </w:r>
      <w:r w:rsidRPr="00CA407F">
        <w:t>success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w:t>
      </w:r>
      <w:r w:rsidR="00006DAC">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t>Prediction using Volume Indicators has given considerable precision, recall, and accuracy in direction prediction.</w:t>
      </w:r>
    </w:p>
    <w:p w:rsidR="00BA72F9" w:rsidRDefault="00BA72F9" w:rsidP="00BA72F9">
      <w:pPr>
        <w:pStyle w:val="Heading2"/>
      </w:pPr>
      <w:r w:rsidRPr="00BA72F9">
        <w:lastRenderedPageBreak/>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357D56"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006DAC"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006DAC"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006DAC"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 xml:space="preserve">ll the models are now combined and below is the description </w:t>
      </w:r>
      <w:r w:rsidR="00006DAC">
        <w:rPr>
          <w:rFonts w:eastAsia="Calibri"/>
        </w:rPr>
        <w:t>of</w:t>
      </w:r>
      <w:r w:rsidRPr="00652EB6">
        <w:rPr>
          <w:rFonts w:eastAsia="Calibri"/>
        </w:rPr>
        <w:t xml:space="preserve">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rPr>
          <w:noProof/>
        </w:rPr>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w:t>
      </w:r>
      <w:r w:rsidR="00006DAC">
        <w:t xml:space="preserve"> </w:t>
      </w:r>
      <w:r>
        <w:t>The Sharpe ratio for KOTAK BANK Stock is calculated as 0.149589.</w:t>
      </w:r>
      <w:r w:rsidR="00006DAC">
        <w:t xml:space="preserve"> </w:t>
      </w:r>
      <w:r>
        <w:t>The Sharpe ratio for SBIBANK Stock is calculated as 0.005306.</w:t>
      </w:r>
    </w:p>
    <w:p w:rsidR="008B6316" w:rsidRDefault="008B6316" w:rsidP="008B6316">
      <w:pPr>
        <w:jc w:val="both"/>
      </w:pPr>
    </w:p>
    <w:p w:rsidR="00712391"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0B1C2A" w:rsidRDefault="000B1C2A" w:rsidP="006701A5">
      <w:pPr>
        <w:jc w:val="both"/>
      </w:pPr>
    </w:p>
    <w:p w:rsidR="00D06866" w:rsidRDefault="00D06866" w:rsidP="00D06866">
      <w:pPr>
        <w:pStyle w:val="Heading1"/>
      </w:pPr>
      <w:r>
        <w:t>CONCLUSION/IMPLICATIONS</w:t>
      </w:r>
    </w:p>
    <w:p w:rsidR="00687269" w:rsidRDefault="000B1C2A" w:rsidP="00687269">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rsidR="00006DAC">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w:t>
      </w:r>
      <w:r w:rsidR="00357D56" w:rsidRPr="000B1C2A">
        <w:t>change. Once</w:t>
      </w:r>
      <w:r w:rsidRPr="000B1C2A">
        <w:t xml:space="preserv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p>
    <w:p w:rsidR="000B1C2A" w:rsidRDefault="000B1C2A" w:rsidP="000B1C2A">
      <w:pPr>
        <w:pStyle w:val="BodyText"/>
      </w:pPr>
      <w:r>
        <w:lastRenderedPageBreak/>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w:t>
      </w:r>
      <w:r w:rsidR="00357D56">
        <w:t>Score. The</w:t>
      </w:r>
      <w:r>
        <w:t xml:space="preserv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FD3928" w:rsidRDefault="000B1C2A" w:rsidP="000B1C2A">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2E6508" w:rsidRDefault="002E6508" w:rsidP="002E6508">
      <w:pPr>
        <w:pStyle w:val="Heading1"/>
      </w:pPr>
      <w:r w:rsidRPr="002E6508">
        <w:t>R</w:t>
      </w:r>
      <w:r>
        <w:t>ECOMMENDATIONS</w:t>
      </w:r>
    </w:p>
    <w:p w:rsidR="002E6508" w:rsidRDefault="0018018F" w:rsidP="00687269">
      <w:pPr>
        <w:pStyle w:val="BodyText"/>
      </w:pPr>
      <w:r w:rsidRPr="0018018F">
        <w:t>This paper has not discussed how to address one major drawback of stock prediction, namely that over different periods the stock returns can change drastically</w:t>
      </w:r>
      <w:r>
        <w:t>.</w:t>
      </w:r>
      <w:r w:rsidRPr="0018018F">
        <w:t xml:space="preserve"> 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BF48E3" w:rsidRPr="00F86F91">
        <w:rPr>
          <w:sz w:val="16"/>
          <w:szCs w:val="16"/>
        </w:rPr>
        <w:fldChar w:fldCharType="begin" w:fldLock="1"/>
      </w:r>
      <w:r w:rsidR="002C2878" w:rsidRPr="00F86F91">
        <w:rPr>
          <w:sz w:val="16"/>
          <w:szCs w:val="16"/>
        </w:rPr>
        <w:instrText xml:space="preserve">ADDIN Mendeley Bibliography CSL_BIBLIOGRAPHY </w:instrText>
      </w:r>
      <w:r w:rsidR="00BF48E3"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w:t>
      </w:r>
      <w:r w:rsidR="002C2878" w:rsidRPr="00F86F91">
        <w:rPr>
          <w:noProof/>
          <w:sz w:val="16"/>
          <w:szCs w:val="16"/>
        </w:rPr>
        <w:lastRenderedPageBreak/>
        <w:t xml:space="preserve">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BF48E3"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C84" w:rsidRDefault="003A6C84" w:rsidP="001A3B3D">
      <w:r>
        <w:separator/>
      </w:r>
    </w:p>
  </w:endnote>
  <w:endnote w:type="continuationSeparator" w:id="1">
    <w:p w:rsidR="003A6C84" w:rsidRDefault="003A6C8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C84" w:rsidRDefault="003A6C84" w:rsidP="001A3B3D">
      <w:r>
        <w:separator/>
      </w:r>
    </w:p>
  </w:footnote>
  <w:footnote w:type="continuationSeparator" w:id="1">
    <w:p w:rsidR="003A6C84" w:rsidRDefault="003A6C8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12290"/>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gFAKj885A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A67FC"/>
    <w:rsid w:val="000A74DE"/>
    <w:rsid w:val="000B1883"/>
    <w:rsid w:val="000B1C2A"/>
    <w:rsid w:val="000C0747"/>
    <w:rsid w:val="000C1E68"/>
    <w:rsid w:val="0011316C"/>
    <w:rsid w:val="00132322"/>
    <w:rsid w:val="001408FA"/>
    <w:rsid w:val="001438A3"/>
    <w:rsid w:val="00145B99"/>
    <w:rsid w:val="00153C1D"/>
    <w:rsid w:val="001544FA"/>
    <w:rsid w:val="0018018F"/>
    <w:rsid w:val="001869D0"/>
    <w:rsid w:val="00193A5F"/>
    <w:rsid w:val="001A2EFD"/>
    <w:rsid w:val="001A3B3D"/>
    <w:rsid w:val="001B67DC"/>
    <w:rsid w:val="001F3948"/>
    <w:rsid w:val="00223C57"/>
    <w:rsid w:val="002254A9"/>
    <w:rsid w:val="00233D97"/>
    <w:rsid w:val="002347A2"/>
    <w:rsid w:val="00240F15"/>
    <w:rsid w:val="00246EA0"/>
    <w:rsid w:val="002631D8"/>
    <w:rsid w:val="002850E3"/>
    <w:rsid w:val="00290C82"/>
    <w:rsid w:val="002A45EA"/>
    <w:rsid w:val="002B0972"/>
    <w:rsid w:val="002B0F4D"/>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327E"/>
    <w:rsid w:val="006B663E"/>
    <w:rsid w:val="006B6B66"/>
    <w:rsid w:val="006C111C"/>
    <w:rsid w:val="006C2C62"/>
    <w:rsid w:val="006C3142"/>
    <w:rsid w:val="006C7E6C"/>
    <w:rsid w:val="006E1CEF"/>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50424"/>
    <w:rsid w:val="00860EB0"/>
    <w:rsid w:val="00862211"/>
    <w:rsid w:val="0087015A"/>
    <w:rsid w:val="00873603"/>
    <w:rsid w:val="00883F15"/>
    <w:rsid w:val="008A0D13"/>
    <w:rsid w:val="008A2C7D"/>
    <w:rsid w:val="008A7482"/>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48E3"/>
    <w:rsid w:val="00BF5FF6"/>
    <w:rsid w:val="00C01BC3"/>
    <w:rsid w:val="00C0207F"/>
    <w:rsid w:val="00C1147D"/>
    <w:rsid w:val="00C12B7B"/>
    <w:rsid w:val="00C16117"/>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6</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460</cp:revision>
  <dcterms:created xsi:type="dcterms:W3CDTF">2019-09-09T09:57:00Z</dcterms:created>
  <dcterms:modified xsi:type="dcterms:W3CDTF">2023-02-06T06:44:00Z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