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45" w:rsidRPr="00AF3AE3" w:rsidRDefault="00203645" w:rsidP="00AF3AE3">
      <w:pPr>
        <w:pStyle w:val="Title"/>
      </w:pPr>
      <w:r>
        <w:t>MRF24J40MB RF Link Documentation</w:t>
      </w:r>
    </w:p>
    <w:p w:rsidR="00203645" w:rsidRDefault="000672F8" w:rsidP="000672F8">
      <w:pPr>
        <w:pStyle w:val="Heading1"/>
      </w:pPr>
      <w:r>
        <w:t>Pin Description Table</w:t>
      </w:r>
    </w:p>
    <w:p w:rsidR="00DD4F07" w:rsidRPr="00DD4F07" w:rsidRDefault="00DD4F07" w:rsidP="00DD4F07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952"/>
        <w:gridCol w:w="1673"/>
        <w:gridCol w:w="985"/>
        <w:gridCol w:w="1657"/>
        <w:gridCol w:w="2975"/>
      </w:tblGrid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 xml:space="preserve">Pin on RF Module </w:t>
            </w:r>
          </w:p>
        </w:tc>
        <w:tc>
          <w:tcPr>
            <w:tcW w:w="1673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Pin on PIC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Symbol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Type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Description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1</w:t>
            </w:r>
          </w:p>
        </w:tc>
        <w:tc>
          <w:tcPr>
            <w:tcW w:w="1673" w:type="dxa"/>
          </w:tcPr>
          <w:p w:rsidR="00203645" w:rsidRPr="0081225B" w:rsidRDefault="00FB2E5B" w:rsidP="00FB2E5B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RD8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GND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Power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Ground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2</w:t>
            </w:r>
          </w:p>
        </w:tc>
        <w:tc>
          <w:tcPr>
            <w:tcW w:w="1673" w:type="dxa"/>
          </w:tcPr>
          <w:p w:rsidR="00203645" w:rsidRPr="0081225B" w:rsidRDefault="00FB2E5B" w:rsidP="00FB2E5B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RD2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RESET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DI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Global Hardware Reset Pin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3</w:t>
            </w:r>
          </w:p>
        </w:tc>
        <w:tc>
          <w:tcPr>
            <w:tcW w:w="1673" w:type="dxa"/>
          </w:tcPr>
          <w:p w:rsidR="00203645" w:rsidRPr="0081225B" w:rsidRDefault="00FB2E5B" w:rsidP="00FB2E5B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RD1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WAKE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DI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External wake-up Trigger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4</w:t>
            </w:r>
          </w:p>
        </w:tc>
        <w:tc>
          <w:tcPr>
            <w:tcW w:w="1673" w:type="dxa"/>
          </w:tcPr>
          <w:p w:rsidR="00203645" w:rsidRPr="0081225B" w:rsidRDefault="00FB2E5B" w:rsidP="00FB2E5B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RB0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INT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DO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Interrupt pin to PIC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5</w:t>
            </w:r>
          </w:p>
        </w:tc>
        <w:tc>
          <w:tcPr>
            <w:tcW w:w="1673" w:type="dxa"/>
          </w:tcPr>
          <w:p w:rsidR="00203645" w:rsidRPr="0081225B" w:rsidRDefault="00FB2E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RD4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SDI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DI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Serial Interface Data Input to RF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6</w:t>
            </w:r>
          </w:p>
        </w:tc>
        <w:tc>
          <w:tcPr>
            <w:tcW w:w="1673" w:type="dxa"/>
          </w:tcPr>
          <w:p w:rsidR="00203645" w:rsidRPr="0081225B" w:rsidRDefault="00FB2E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RD6</w:t>
            </w:r>
          </w:p>
        </w:tc>
        <w:tc>
          <w:tcPr>
            <w:tcW w:w="985" w:type="dxa"/>
          </w:tcPr>
          <w:p w:rsidR="00203645" w:rsidRPr="0081225B" w:rsidRDefault="00FB2E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SC</w:t>
            </w:r>
            <w:r w:rsidR="00203645" w:rsidRPr="0081225B">
              <w:rPr>
                <w:rFonts w:cs="Arial"/>
                <w:b/>
                <w:bCs/>
              </w:rPr>
              <w:t>K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DI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Serial Interface Clock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7</w:t>
            </w:r>
          </w:p>
        </w:tc>
        <w:tc>
          <w:tcPr>
            <w:tcW w:w="1673" w:type="dxa"/>
          </w:tcPr>
          <w:p w:rsidR="00203645" w:rsidRPr="0081225B" w:rsidRDefault="00FB2E5B" w:rsidP="00FB2E5B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RD5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SDO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DO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Serial Interface output from RF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8</w:t>
            </w:r>
          </w:p>
        </w:tc>
        <w:tc>
          <w:tcPr>
            <w:tcW w:w="1673" w:type="dxa"/>
          </w:tcPr>
          <w:p w:rsidR="00203645" w:rsidRPr="0081225B" w:rsidRDefault="00FB2E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RD0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CS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DI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Serial Interface Enable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9</w:t>
            </w:r>
          </w:p>
        </w:tc>
        <w:tc>
          <w:tcPr>
            <w:tcW w:w="1673" w:type="dxa"/>
          </w:tcPr>
          <w:p w:rsidR="00203645" w:rsidRPr="0081225B" w:rsidRDefault="008122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Not Connected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NC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No Connection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10</w:t>
            </w:r>
          </w:p>
        </w:tc>
        <w:tc>
          <w:tcPr>
            <w:tcW w:w="1673" w:type="dxa"/>
          </w:tcPr>
          <w:p w:rsidR="00203645" w:rsidRPr="0081225B" w:rsidRDefault="00FB2E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RD9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Vin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Power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Power Supply</w:t>
            </w:r>
          </w:p>
        </w:tc>
      </w:tr>
      <w:tr w:rsidR="00203645" w:rsidRPr="0081225B" w:rsidTr="0081225B">
        <w:trPr>
          <w:trHeight w:val="70"/>
        </w:trPr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11</w:t>
            </w:r>
          </w:p>
        </w:tc>
        <w:tc>
          <w:tcPr>
            <w:tcW w:w="1673" w:type="dxa"/>
          </w:tcPr>
          <w:p w:rsidR="00203645" w:rsidRPr="0081225B" w:rsidRDefault="00FB2E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Not Connected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GND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Ground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Ground</w:t>
            </w:r>
          </w:p>
        </w:tc>
      </w:tr>
      <w:tr w:rsidR="00203645" w:rsidRPr="0081225B" w:rsidTr="0081225B">
        <w:tc>
          <w:tcPr>
            <w:tcW w:w="1952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12</w:t>
            </w:r>
          </w:p>
        </w:tc>
        <w:tc>
          <w:tcPr>
            <w:tcW w:w="1673" w:type="dxa"/>
          </w:tcPr>
          <w:p w:rsidR="00203645" w:rsidRPr="0081225B" w:rsidRDefault="00FB2E5B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Not Connected</w:t>
            </w:r>
          </w:p>
        </w:tc>
        <w:tc>
          <w:tcPr>
            <w:tcW w:w="98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GND</w:t>
            </w:r>
          </w:p>
        </w:tc>
        <w:tc>
          <w:tcPr>
            <w:tcW w:w="1657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Ground</w:t>
            </w:r>
          </w:p>
        </w:tc>
        <w:tc>
          <w:tcPr>
            <w:tcW w:w="2975" w:type="dxa"/>
          </w:tcPr>
          <w:p w:rsidR="00203645" w:rsidRPr="0081225B" w:rsidRDefault="00203645" w:rsidP="00203645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81225B">
              <w:rPr>
                <w:rFonts w:cs="Arial"/>
                <w:b/>
                <w:bCs/>
              </w:rPr>
              <w:t>Ground</w:t>
            </w:r>
          </w:p>
        </w:tc>
      </w:tr>
    </w:tbl>
    <w:p w:rsidR="00203645" w:rsidRPr="0081225B" w:rsidRDefault="00203645" w:rsidP="0020364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203645" w:rsidRPr="0081225B" w:rsidRDefault="00203645" w:rsidP="00203645">
      <w:pPr>
        <w:rPr>
          <w:rFonts w:cs="Arial"/>
          <w:sz w:val="24"/>
          <w:szCs w:val="24"/>
        </w:rPr>
      </w:pPr>
      <w:r w:rsidRPr="0081225B">
        <w:rPr>
          <w:rFonts w:cs="Arial"/>
          <w:b/>
          <w:bCs/>
          <w:sz w:val="24"/>
          <w:szCs w:val="24"/>
        </w:rPr>
        <w:t xml:space="preserve">Legend: </w:t>
      </w:r>
      <w:r w:rsidRPr="0081225B">
        <w:rPr>
          <w:rFonts w:cs="Arial"/>
          <w:sz w:val="24"/>
          <w:szCs w:val="24"/>
        </w:rPr>
        <w:t>Pin type abbreviation: D = Digital, I = Input, O = Output</w:t>
      </w:r>
    </w:p>
    <w:p w:rsidR="0081225B" w:rsidRDefault="0081225B" w:rsidP="000672F8">
      <w:pPr>
        <w:pStyle w:val="Heading1"/>
      </w:pPr>
      <w:r>
        <w:t>RF Link Test Routine</w:t>
      </w:r>
    </w:p>
    <w:p w:rsidR="00DD4F07" w:rsidRPr="00DD4F07" w:rsidRDefault="00DD4F07" w:rsidP="00DD4F07"/>
    <w:p w:rsidR="000672F8" w:rsidRDefault="0081225B" w:rsidP="00DD4F07">
      <w:pPr>
        <w:ind w:firstLine="720"/>
      </w:pPr>
      <w:r>
        <w:t xml:space="preserve">A pair of microcontrollers is used to test the functionality of the RF boards.  </w:t>
      </w:r>
      <w:r w:rsidR="000672F8">
        <w:t xml:space="preserve">On powering, the transmitter will count to 15 and display the value on the LED array. The receiver, on powering, will flash its LEDs 3 times. This can be used as a visual confirmation that both microcontrollers are programmed with the appropriate code and are operational. </w:t>
      </w:r>
    </w:p>
    <w:p w:rsidR="0081225B" w:rsidRDefault="000672F8" w:rsidP="00DD4F07">
      <w:pPr>
        <w:ind w:firstLine="720"/>
      </w:pPr>
      <w:r>
        <w:t>Once in the main routine, the t</w:t>
      </w:r>
      <w:r w:rsidR="0081225B">
        <w:t xml:space="preserve">ransmitter starts a counter, and transmits the counter value to the </w:t>
      </w:r>
      <w:r>
        <w:t>r</w:t>
      </w:r>
      <w:r w:rsidR="0081225B">
        <w:t xml:space="preserve">eceiver. Then both microcontrollers display the current value of the counter on the </w:t>
      </w:r>
      <w:r w:rsidR="00FC6D5E">
        <w:t xml:space="preserve">four rightmost </w:t>
      </w:r>
      <w:r w:rsidR="0081225B">
        <w:t>LEDs of the I/O Board</w:t>
      </w:r>
      <w:r w:rsidR="00AF3AE3">
        <w:t xml:space="preserve"> synchronously</w:t>
      </w:r>
      <w:r w:rsidR="0081225B">
        <w:t xml:space="preserve">. If there is a </w:t>
      </w:r>
      <w:r w:rsidR="00FC6D5E">
        <w:t>failure in transmission</w:t>
      </w:r>
      <w:r w:rsidR="0081225B">
        <w:t>, the Transmitter will flash its LEDs until t</w:t>
      </w:r>
      <w:r w:rsidR="002F7F1B">
        <w:t xml:space="preserve">he connection is re-established. </w:t>
      </w:r>
    </w:p>
    <w:p w:rsidR="00FC6D5E" w:rsidRDefault="00FC6D5E" w:rsidP="00DD4F07">
      <w:pPr>
        <w:ind w:firstLine="720"/>
      </w:pPr>
      <w:r>
        <w:t xml:space="preserve">Push-Button PB1 can be used on either microcontroller to re-initialise the RF module and establish </w:t>
      </w:r>
      <w:r w:rsidR="00AF3AE3">
        <w:t xml:space="preserve">a P2P </w:t>
      </w:r>
      <w:r>
        <w:t>connection.</w:t>
      </w:r>
    </w:p>
    <w:p w:rsidR="00DD4F07" w:rsidRDefault="00DD4F07" w:rsidP="000672F8">
      <w:pPr>
        <w:pStyle w:val="Heading1"/>
      </w:pPr>
    </w:p>
    <w:p w:rsidR="00DD4F07" w:rsidRDefault="00DD4F07" w:rsidP="00DD4F07"/>
    <w:p w:rsidR="00DD4F07" w:rsidRPr="00DD4F07" w:rsidRDefault="00DD4F07" w:rsidP="00DD4F07"/>
    <w:p w:rsidR="00DD4F07" w:rsidRDefault="000672F8" w:rsidP="00DD1669">
      <w:pPr>
        <w:pStyle w:val="Heading1"/>
      </w:pPr>
      <w:r>
        <w:lastRenderedPageBreak/>
        <w:t>Test Procedure</w:t>
      </w:r>
    </w:p>
    <w:p w:rsidR="00DD1669" w:rsidRPr="00DD1669" w:rsidRDefault="00DD1669" w:rsidP="00DD1669"/>
    <w:p w:rsidR="000672F8" w:rsidRDefault="000672F8" w:rsidP="00DD4F07">
      <w:pPr>
        <w:pStyle w:val="ListParagraph"/>
        <w:numPr>
          <w:ilvl w:val="0"/>
          <w:numId w:val="1"/>
        </w:numPr>
      </w:pPr>
      <w:r>
        <w:t>Connect the RF links to the microcontrollers using the Pin Description Table above.</w:t>
      </w:r>
    </w:p>
    <w:p w:rsidR="00DD4F07" w:rsidRDefault="00DD4F07" w:rsidP="00DD4F07">
      <w:pPr>
        <w:pStyle w:val="ListParagraph"/>
      </w:pPr>
    </w:p>
    <w:p w:rsidR="00B005C5" w:rsidRDefault="000672F8" w:rsidP="00B005C5">
      <w:pPr>
        <w:pStyle w:val="ListParagraph"/>
        <w:numPr>
          <w:ilvl w:val="0"/>
          <w:numId w:val="1"/>
        </w:numPr>
      </w:pPr>
      <w:r>
        <w:t xml:space="preserve">Using MPLAB X, </w:t>
      </w:r>
      <w:r w:rsidR="00B005C5">
        <w:t xml:space="preserve">open the RF_module_rx </w:t>
      </w:r>
      <w:r w:rsidR="001D5064">
        <w:t>project</w:t>
      </w:r>
      <w:r w:rsidR="00B005C5">
        <w:t xml:space="preserve"> located in the </w:t>
      </w:r>
      <w:r w:rsidR="00B005C5" w:rsidRPr="00B005C5">
        <w:t xml:space="preserve">RfLink_TEST </w:t>
      </w:r>
      <w:r w:rsidR="00B005C5">
        <w:t>folder. P</w:t>
      </w:r>
      <w:r>
        <w:t xml:space="preserve">rogram the </w:t>
      </w:r>
      <w:r w:rsidR="001D5064">
        <w:t>two microcontrollers.</w:t>
      </w:r>
    </w:p>
    <w:p w:rsidR="001D5064" w:rsidRDefault="001D5064" w:rsidP="001D5064">
      <w:pPr>
        <w:pStyle w:val="ListParagraph"/>
      </w:pPr>
    </w:p>
    <w:p w:rsidR="00B005C5" w:rsidRDefault="001D5064" w:rsidP="001D5064">
      <w:pPr>
        <w:pStyle w:val="ListParagraph"/>
        <w:numPr>
          <w:ilvl w:val="0"/>
          <w:numId w:val="1"/>
        </w:numPr>
      </w:pPr>
      <w:r>
        <w:t>Setting the rightmost switch of the I/O board to the open position sets it to transmission mode and a t appears briefly on the 7-segment display. Setting the switch back to the closed position sets it to receive mode and an r appears briefly on the 7-segment display</w:t>
      </w:r>
    </w:p>
    <w:p w:rsidR="00B005C5" w:rsidRDefault="00B005C5" w:rsidP="00B005C5">
      <w:pPr>
        <w:pStyle w:val="ListParagraph"/>
      </w:pPr>
    </w:p>
    <w:p w:rsidR="001D5064" w:rsidRDefault="000672F8" w:rsidP="001D5064">
      <w:pPr>
        <w:pStyle w:val="ListParagraph"/>
        <w:numPr>
          <w:ilvl w:val="0"/>
          <w:numId w:val="1"/>
        </w:numPr>
      </w:pPr>
      <w:r>
        <w:t xml:space="preserve">Power on the microcontrollers and </w:t>
      </w:r>
      <w:r w:rsidR="001D5064">
        <w:t>set the transmission status switch to the desired position</w:t>
      </w:r>
      <w:r>
        <w:t>. After a short delay, you should observe both microcontrollers displaying the same value on the LEDs.</w:t>
      </w:r>
    </w:p>
    <w:p w:rsidR="001D5064" w:rsidRDefault="001D5064" w:rsidP="001D5064">
      <w:pPr>
        <w:pStyle w:val="ListParagraph"/>
      </w:pPr>
    </w:p>
    <w:p w:rsidR="001D5064" w:rsidRDefault="001D5064" w:rsidP="001D5064">
      <w:pPr>
        <w:pStyle w:val="ListParagraph"/>
        <w:numPr>
          <w:ilvl w:val="0"/>
          <w:numId w:val="1"/>
        </w:numPr>
      </w:pPr>
      <w:r>
        <w:t>Setting the second rightmost switch of the I/O board to the on position, sets the RF board to sleep and pauses transmission. To resume transmission set the switch back to the closed position.</w:t>
      </w:r>
      <w:bookmarkStart w:id="0" w:name="_GoBack"/>
      <w:bookmarkEnd w:id="0"/>
    </w:p>
    <w:p w:rsidR="00DD4F07" w:rsidRDefault="00DD4F07" w:rsidP="00DD4F07">
      <w:pPr>
        <w:pStyle w:val="ListParagraph"/>
      </w:pPr>
    </w:p>
    <w:p w:rsidR="000672F8" w:rsidRDefault="000672F8" w:rsidP="000672F8">
      <w:pPr>
        <w:pStyle w:val="ListParagraph"/>
        <w:numPr>
          <w:ilvl w:val="0"/>
          <w:numId w:val="1"/>
        </w:numPr>
      </w:pPr>
      <w:r>
        <w:t xml:space="preserve">In case of a transmission fault, the transmitter will flash its LEDs until the connection is re-established. </w:t>
      </w:r>
      <w:r w:rsidR="000B332B">
        <w:t xml:space="preserve">If there is a problem with the transmitting end, the left LED bank will flash. In the case of a fault in the receiver, the right LED bank will flash. </w:t>
      </w:r>
      <w:r>
        <w:t xml:space="preserve">In this case ensure the RF links are properly connected and </w:t>
      </w:r>
      <w:r w:rsidR="00DD4F07">
        <w:t>that all</w:t>
      </w:r>
      <w:r>
        <w:t xml:space="preserve"> three LEDs</w:t>
      </w:r>
      <w:r w:rsidR="00DD4F07">
        <w:t xml:space="preserve"> on each module (+5V, RST, WAKE) are on. Push PB1 on </w:t>
      </w:r>
      <w:r w:rsidR="000B332B">
        <w:t>the appropriate</w:t>
      </w:r>
      <w:r w:rsidR="00DD4F07">
        <w:t xml:space="preserve"> microcontroll</w:t>
      </w:r>
      <w:r w:rsidR="000B332B">
        <w:t>er to soft reset the RF module</w:t>
      </w:r>
    </w:p>
    <w:p w:rsidR="00DD4F07" w:rsidRDefault="00DD4F07" w:rsidP="00DD4F07">
      <w:pPr>
        <w:pStyle w:val="ListParagraph"/>
      </w:pPr>
    </w:p>
    <w:p w:rsidR="00DD4F07" w:rsidRDefault="00DD4F07" w:rsidP="000672F8">
      <w:pPr>
        <w:pStyle w:val="ListParagraph"/>
        <w:numPr>
          <w:ilvl w:val="0"/>
          <w:numId w:val="1"/>
        </w:numPr>
      </w:pPr>
      <w:r>
        <w:t>If the problem persists, it means there is either a faulty connection or a hardware fault on the RF module.</w:t>
      </w:r>
    </w:p>
    <w:p w:rsidR="00DD4F07" w:rsidRPr="000672F8" w:rsidRDefault="00DD4F07" w:rsidP="00DD4F07"/>
    <w:p w:rsidR="000672F8" w:rsidRDefault="000672F8" w:rsidP="000672F8"/>
    <w:p w:rsidR="000672F8" w:rsidRPr="000672F8" w:rsidRDefault="000672F8" w:rsidP="000672F8"/>
    <w:p w:rsidR="00AF3AE3" w:rsidRPr="0081225B" w:rsidRDefault="00AF3AE3" w:rsidP="0081225B"/>
    <w:p w:rsidR="00FB2E5B" w:rsidRPr="0081225B" w:rsidRDefault="00FB2E5B" w:rsidP="00203645">
      <w:pPr>
        <w:rPr>
          <w:sz w:val="24"/>
          <w:szCs w:val="24"/>
        </w:rPr>
      </w:pPr>
    </w:p>
    <w:sectPr w:rsidR="00FB2E5B" w:rsidRPr="0081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175D9"/>
    <w:multiLevelType w:val="hybridMultilevel"/>
    <w:tmpl w:val="C548F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45"/>
    <w:rsid w:val="000000A9"/>
    <w:rsid w:val="000672F8"/>
    <w:rsid w:val="000B332B"/>
    <w:rsid w:val="001D5064"/>
    <w:rsid w:val="00203645"/>
    <w:rsid w:val="002F7F1B"/>
    <w:rsid w:val="004F4650"/>
    <w:rsid w:val="006068AF"/>
    <w:rsid w:val="0081225B"/>
    <w:rsid w:val="00AF3AE3"/>
    <w:rsid w:val="00B005C5"/>
    <w:rsid w:val="00DD1669"/>
    <w:rsid w:val="00DD4F07"/>
    <w:rsid w:val="00FB2E5B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2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2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7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2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2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7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2014-06-17T08:04:00Z</dcterms:created>
  <dcterms:modified xsi:type="dcterms:W3CDTF">2014-07-15T09:16:00Z</dcterms:modified>
</cp:coreProperties>
</file>