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48" w:rsidRDefault="00215AC6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C679BC9" wp14:editId="5AF8E73F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5AC6" w:rsidRDefault="00215AC6" w:rsidP="00962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利用低功耗定时器的灵活性，采用PLL2P或PLL3R分频至256M，便于计算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fft</w:t>
      </w:r>
      <w:proofErr w:type="spellEnd"/>
    </w:p>
    <w:p w:rsidR="00215AC6" w:rsidRPr="00962548" w:rsidRDefault="00215AC6" w:rsidP="0096254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最高可计算16384Hz</w:t>
      </w:r>
      <w:r>
        <w:rPr>
          <w:rFonts w:ascii="宋体" w:eastAsia="宋体" w:hAnsi="宋体" w:cs="宋体"/>
          <w:kern w:val="0"/>
          <w:sz w:val="24"/>
          <w:szCs w:val="24"/>
        </w:rPr>
        <w:t>(16384*</w:t>
      </w:r>
      <w:r w:rsidRPr="00215AC6">
        <w:rPr>
          <w:rFonts w:ascii="宋体" w:eastAsia="宋体" w:hAnsi="宋体" w:cs="宋体"/>
          <w:kern w:val="0"/>
          <w:sz w:val="24"/>
          <w:szCs w:val="24"/>
        </w:rPr>
        <w:t>15625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 256M),</w:t>
      </w:r>
      <w:r>
        <w:rPr>
          <w:rFonts w:ascii="宋体" w:eastAsia="宋体" w:hAnsi="宋体" w:cs="宋体" w:hint="eastAsia"/>
          <w:kern w:val="0"/>
          <w:sz w:val="24"/>
          <w:szCs w:val="24"/>
        </w:rPr>
        <w:t>实测效果极准，可手写16384点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fft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使分辨率降到1Hz。</w:t>
      </w:r>
    </w:p>
    <w:p w:rsidR="00962548" w:rsidRPr="0092424C" w:rsidRDefault="00962548"/>
    <w:sectPr w:rsidR="00962548" w:rsidRPr="0092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A"/>
    <w:rsid w:val="002036C2"/>
    <w:rsid w:val="00215AC6"/>
    <w:rsid w:val="007A5588"/>
    <w:rsid w:val="0085421A"/>
    <w:rsid w:val="0092424C"/>
    <w:rsid w:val="009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35F3"/>
  <w15:chartTrackingRefBased/>
  <w15:docId w15:val="{EC1531D7-EF3B-48C6-9950-F3966CE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威远</dc:creator>
  <cp:keywords/>
  <dc:description/>
  <cp:lastModifiedBy>李 威远</cp:lastModifiedBy>
  <cp:revision>5</cp:revision>
  <dcterms:created xsi:type="dcterms:W3CDTF">2019-04-22T12:15:00Z</dcterms:created>
  <dcterms:modified xsi:type="dcterms:W3CDTF">2019-08-06T02:52:00Z</dcterms:modified>
</cp:coreProperties>
</file>