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271" w:rsidRPr="002A4BD2" w:rsidRDefault="002A4BD2">
      <w:pPr>
        <w:rPr>
          <w:b/>
        </w:rPr>
      </w:pPr>
      <w:r w:rsidRPr="002A4BD2">
        <w:rPr>
          <w:b/>
        </w:rPr>
        <w:t>Меню уровнемера:</w:t>
      </w:r>
    </w:p>
    <w:p w:rsidR="00597129" w:rsidRDefault="00070271" w:rsidP="00752FAF">
      <w:pPr>
        <w:ind w:left="-426"/>
      </w:pPr>
      <w:r>
        <w:rPr>
          <w:noProof/>
        </w:rPr>
      </w:r>
      <w:r w:rsidR="00752FAF">
        <w:pict>
          <v:group id="_x0000_s1028" editas="canvas" style="width:517.25pt;height:379pt;mso-position-horizontal-relative:char;mso-position-vertical-relative:line" coordorigin="1597,2042" coordsize="7962,58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97;top:2042;width:7962;height:5834" o:preferrelative="f">
              <v:fill o:detectmouseclick="t"/>
              <v:path o:extrusionok="t" o:connecttype="none"/>
              <o:lock v:ext="edit" text="t"/>
            </v:shape>
            <v:rect id="_x0000_s1029" style="position:absolute;left:2969;top:2666;width:1092;height:496">
              <v:textbox style="mso-next-textbox:#_x0000_s1029">
                <w:txbxContent>
                  <w:p w:rsidR="00070271" w:rsidRPr="00070271" w:rsidRDefault="00070271" w:rsidP="00752FAF">
                    <w:pPr>
                      <w:rPr>
                        <w:sz w:val="46"/>
                        <w:lang w:val="en-US"/>
                      </w:rPr>
                    </w:pPr>
                    <w:r w:rsidRPr="00070271">
                      <w:rPr>
                        <w:sz w:val="46"/>
                        <w:lang w:val="en-US"/>
                      </w:rPr>
                      <w:t>000.0</w:t>
                    </w:r>
                  </w:p>
                </w:txbxContent>
              </v:textbox>
            </v:rect>
            <v:rect id="_x0000_s1030" style="position:absolute;left:4194;top:3303;width:1090;height:496">
              <v:textbox style="mso-next-textbox:#_x0000_s1030">
                <w:txbxContent>
                  <w:p w:rsidR="00070271" w:rsidRPr="00070271" w:rsidRDefault="00070271" w:rsidP="00752FAF">
                    <w:pPr>
                      <w:rPr>
                        <w:sz w:val="46"/>
                        <w:lang w:val="en-US"/>
                      </w:rPr>
                    </w:pPr>
                    <w:r>
                      <w:rPr>
                        <w:sz w:val="46"/>
                        <w:lang w:val="en-US"/>
                      </w:rPr>
                      <w:t xml:space="preserve">    SET</w:t>
                    </w:r>
                  </w:p>
                </w:txbxContent>
              </v:textbox>
            </v:rect>
            <v:rect id="_x0000_s1031" style="position:absolute;left:4196;top:5326;width:1090;height:495">
              <v:textbox style="mso-next-textbox:#_x0000_s1031">
                <w:txbxContent>
                  <w:p w:rsidR="00070271" w:rsidRPr="00070271" w:rsidRDefault="00070271" w:rsidP="00752FAF">
                    <w:pPr>
                      <w:rPr>
                        <w:sz w:val="46"/>
                        <w:lang w:val="en-US"/>
                      </w:rPr>
                    </w:pPr>
                    <w:r>
                      <w:rPr>
                        <w:sz w:val="46"/>
                        <w:lang w:val="en-US"/>
                      </w:rPr>
                      <w:t xml:space="preserve">    BRI</w:t>
                    </w:r>
                  </w:p>
                </w:txbxContent>
              </v:textbox>
            </v:rect>
            <v:rect id="_x0000_s1032" style="position:absolute;left:4196;top:7121;width:1088;height:496">
              <v:textbox style="mso-next-textbox:#_x0000_s1032">
                <w:txbxContent>
                  <w:p w:rsidR="00070271" w:rsidRPr="00070271" w:rsidRDefault="00070271" w:rsidP="00752FAF">
                    <w:pPr>
                      <w:rPr>
                        <w:sz w:val="46"/>
                        <w:lang w:val="en-US"/>
                      </w:rPr>
                    </w:pPr>
                    <w:r>
                      <w:rPr>
                        <w:sz w:val="46"/>
                        <w:lang w:val="en-US"/>
                      </w:rPr>
                      <w:t xml:space="preserve"> TYPE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3" type="#_x0000_t33" style="position:absolute;left:4061;top:2914;width:678;height:389" o:connectortype="elbow" adj="-120196,-118736,-120196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4739;top:3799;width:2;height:1527" o:connectortype="straight">
              <v:stroke endarrow="block"/>
            </v:shape>
            <v:shape id="_x0000_s1035" type="#_x0000_t32" style="position:absolute;left:4740;top:5821;width:1;height:1300;flip:x" o:connectortype="straight">
              <v:stroke endarrow="block"/>
            </v:shape>
            <v:rect id="_x0000_s1036" style="position:absolute;left:5599;top:3799;width:1088;height:497">
              <v:textbox style="mso-next-textbox:#_x0000_s1036">
                <w:txbxContent>
                  <w:p w:rsidR="00037B3B" w:rsidRPr="00070271" w:rsidRDefault="00037B3B" w:rsidP="00752FAF">
                    <w:pPr>
                      <w:rPr>
                        <w:sz w:val="46"/>
                        <w:lang w:val="en-US"/>
                      </w:rPr>
                    </w:pPr>
                    <w:r>
                      <w:rPr>
                        <w:sz w:val="46"/>
                        <w:lang w:val="en-US"/>
                      </w:rPr>
                      <w:t>AREA</w:t>
                    </w:r>
                  </w:p>
                </w:txbxContent>
              </v:textbox>
            </v:rect>
            <v:rect id="_x0000_s1037" style="position:absolute;left:5599;top:4615;width:1089;height:497">
              <v:textbox style="mso-next-textbox:#_x0000_s1037">
                <w:txbxContent>
                  <w:p w:rsidR="00037B3B" w:rsidRPr="00070271" w:rsidRDefault="00037B3B" w:rsidP="00752FAF">
                    <w:pPr>
                      <w:rPr>
                        <w:sz w:val="46"/>
                        <w:lang w:val="en-US"/>
                      </w:rPr>
                    </w:pPr>
                    <w:r>
                      <w:rPr>
                        <w:sz w:val="46"/>
                        <w:lang w:val="en-US"/>
                      </w:rPr>
                      <w:t xml:space="preserve"> OFFS</w:t>
                    </w:r>
                  </w:p>
                </w:txbxContent>
              </v:textbox>
            </v:rect>
            <v:shape id="_x0000_s1038" type="#_x0000_t33" style="position:absolute;left:5284;top:3551;width:859;height:248" o:connectortype="elbow" adj="-125768,-241759,-125768">
              <v:stroke endarrow="block"/>
            </v:shape>
            <v:shape id="_x0000_s1039" type="#_x0000_t32" style="position:absolute;left:6143;top:4296;width:1;height:319" o:connectortype="straight">
              <v:stroke endarrow="block"/>
            </v:shape>
            <v:shapetype id="_x0000_t41" coordsize="21600,21600" o:spt="41" adj="-8280,24300,-1800,4050" path="m@0@1l@2@3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textborder="f"/>
            </v:shapetype>
            <v:shape id="_x0000_s1042" type="#_x0000_t41" style="position:absolute;left:6251;top:2492;width:2665;height:279" adj="-7930,61280,-749,10740,-7843,62831,-7843,62831">
              <v:textbox style="mso-next-textbox:#_x0000_s1042">
                <w:txbxContent>
                  <w:p w:rsidR="00EE3D4D" w:rsidRPr="00EE3D4D" w:rsidRDefault="00EE3D4D" w:rsidP="00752FAF">
                    <w:pPr>
                      <w:rPr>
                        <w:sz w:val="18"/>
                      </w:rPr>
                    </w:pPr>
                    <w:r w:rsidRPr="00EE3D4D">
                      <w:rPr>
                        <w:sz w:val="18"/>
                      </w:rPr>
                      <w:t>Установка параметров</w:t>
                    </w:r>
                  </w:p>
                </w:txbxContent>
              </v:textbox>
              <o:callout v:ext="edit" minusy="t"/>
            </v:shape>
            <v:shape id="_x0000_s1043" type="#_x0000_t41" style="position:absolute;left:5642;top:5492;width:2666;height:279" adj="-2769,6743,-748,10740,-7844,62831,-7844,62831">
              <v:textbox style="mso-next-textbox:#_x0000_s1043">
                <w:txbxContent>
                  <w:p w:rsidR="00EE3D4D" w:rsidRPr="00EE3D4D" w:rsidRDefault="00EE3D4D" w:rsidP="00752F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Яркость индикатора(0..15)</w:t>
                    </w:r>
                  </w:p>
                </w:txbxContent>
              </v:textbox>
            </v:shape>
            <v:shape id="_x0000_s1044" type="#_x0000_t41" style="position:absolute;left:5730;top:7213;width:2666;height:663" adj="-3373,4190,-748,4516,-7844,26417,-7844,26417">
              <v:textbox style="mso-next-textbox:#_x0000_s1044">
                <w:txbxContent>
                  <w:p w:rsidR="00EE3D4D" w:rsidRDefault="00EE3D4D" w:rsidP="00752FAF">
                    <w:pPr>
                      <w:spacing w:after="0"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Тип отображаемого значения-</w:t>
                    </w:r>
                  </w:p>
                  <w:p w:rsidR="00EE3D4D" w:rsidRDefault="00EE3D4D" w:rsidP="00752FAF">
                    <w:pPr>
                      <w:spacing w:after="0"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>LINE</w:t>
                    </w:r>
                    <w:r w:rsidRPr="00613E72">
                      <w:rPr>
                        <w:sz w:val="18"/>
                      </w:rPr>
                      <w:t>-</w:t>
                    </w:r>
                    <w:r>
                      <w:rPr>
                        <w:sz w:val="18"/>
                      </w:rPr>
                      <w:t>линейный</w:t>
                    </w:r>
                    <w:r w:rsidR="00613E72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(мм)</w:t>
                    </w:r>
                  </w:p>
                  <w:p w:rsidR="00EE3D4D" w:rsidRPr="00EE3D4D" w:rsidRDefault="00EE3D4D" w:rsidP="00752FAF">
                    <w:pPr>
                      <w:spacing w:after="0" w:line="240" w:lineRule="auto"/>
                      <w:rPr>
                        <w:sz w:val="18"/>
                      </w:rPr>
                    </w:pPr>
                    <w:r>
                      <w:rPr>
                        <w:sz w:val="18"/>
                        <w:lang w:val="en-US"/>
                      </w:rPr>
                      <w:t>CUB –</w:t>
                    </w:r>
                    <w:r>
                      <w:rPr>
                        <w:sz w:val="18"/>
                      </w:rPr>
                      <w:t>объем</w:t>
                    </w:r>
                    <w:r w:rsidR="00613E72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(м</w:t>
                    </w:r>
                    <w:r>
                      <w:rPr>
                        <w:sz w:val="18"/>
                        <w:vertAlign w:val="superscript"/>
                      </w:rPr>
                      <w:t>3</w:t>
                    </w:r>
                    <w:r>
                      <w:rPr>
                        <w:sz w:val="18"/>
                      </w:rPr>
                      <w:t>)</w:t>
                    </w:r>
                  </w:p>
                  <w:p w:rsidR="00EE3D4D" w:rsidRPr="00EE3D4D" w:rsidRDefault="00EE3D4D" w:rsidP="00752FAF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45" type="#_x0000_t41" style="position:absolute;left:3817;top:2214;width:1186;height:278" adj="-8026,31744,-1681,10740,-17622,62831,-17622,62831">
              <v:textbox style="mso-next-textbox:#_x0000_s1045">
                <w:txbxContent>
                  <w:p w:rsidR="00CE46EC" w:rsidRPr="00EE3D4D" w:rsidRDefault="00CE46EC" w:rsidP="00752F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Главный экран</w:t>
                    </w:r>
                  </w:p>
                </w:txbxContent>
              </v:textbox>
              <o:callout v:ext="edit" minusy="t"/>
            </v:shape>
            <v:shape id="_x0000_s1046" type="#_x0000_t41" style="position:absolute;left:6894;top:3865;width:1661;height:280" adj="-2611,8212,-1201,10711,-12576,62836,-12576,62836">
              <v:textbox style="mso-next-textbox:#_x0000_s1046">
                <w:txbxContent>
                  <w:p w:rsidR="00752FAF" w:rsidRPr="00EE3D4D" w:rsidRDefault="00752FAF" w:rsidP="00752F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Площадь емкости</w:t>
                    </w:r>
                    <w:r w:rsidR="00613E72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(м</w:t>
                    </w:r>
                    <w:proofErr w:type="gramStart"/>
                    <w:r>
                      <w:rPr>
                        <w:sz w:val="18"/>
                        <w:vertAlign w:val="superscript"/>
                      </w:rPr>
                      <w:t>2</w:t>
                    </w:r>
                    <w:proofErr w:type="gram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v:shape id="_x0000_s1047" type="#_x0000_t41" style="position:absolute;left:6894;top:4700;width:2665;height:626" adj="-1497,3450,-748,4776,-7840,28234,-7840,28234">
              <v:textbox style="mso-next-textbox:#_x0000_s1047">
                <w:txbxContent>
                  <w:p w:rsidR="00752FAF" w:rsidRPr="00EE3D4D" w:rsidRDefault="00752FAF" w:rsidP="00752FAF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Смещение штанги относительно дна</w:t>
                    </w:r>
                    <w:r w:rsidR="00613E72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</w:t>
                    </w:r>
                    <w:proofErr w:type="gramStart"/>
                    <w:r>
                      <w:rPr>
                        <w:sz w:val="18"/>
                      </w:rPr>
                      <w:t>мм</w:t>
                    </w:r>
                    <w:proofErr w:type="gramEnd"/>
                    <w:r>
                      <w:rPr>
                        <w:sz w:val="18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00000" w:rsidRPr="002A4BD2" w:rsidRDefault="00597129" w:rsidP="00597129">
      <w:pPr>
        <w:rPr>
          <w:b/>
        </w:rPr>
      </w:pPr>
      <w:r w:rsidRPr="002A4BD2">
        <w:rPr>
          <w:b/>
        </w:rPr>
        <w:t>Назначение кнопок:</w:t>
      </w:r>
    </w:p>
    <w:p w:rsidR="00597129" w:rsidRDefault="00A74227" w:rsidP="00597129">
      <w:r w:rsidRPr="00AD74D5">
        <w:rPr>
          <w:b/>
          <w:sz w:val="40"/>
        </w:rPr>
        <w:sym w:font="Symbol" w:char="F0BF"/>
      </w:r>
      <w:r>
        <w:t>-Переход во вложенное меню, либо в конечном пункте меню - запомнить и выйти</w:t>
      </w:r>
    </w:p>
    <w:p w:rsidR="00A74227" w:rsidRDefault="00A74227" w:rsidP="00597129">
      <w:r w:rsidRPr="00AD74D5">
        <w:rPr>
          <w:b/>
          <w:sz w:val="30"/>
        </w:rPr>
        <w:t>&gt;&gt;</w:t>
      </w:r>
      <w:r w:rsidRPr="00A74227">
        <w:t>-</w:t>
      </w:r>
      <w:r>
        <w:t>Переход к следующему пункту меню, либо в конечном пункте - переход к следующему знакоместу</w:t>
      </w:r>
    </w:p>
    <w:p w:rsidR="00D3718A" w:rsidRDefault="0097774D" w:rsidP="00597129">
      <w:r w:rsidRPr="00AD74D5">
        <w:rPr>
          <w:b/>
          <w:sz w:val="32"/>
          <w:szCs w:val="32"/>
        </w:rPr>
        <w:t>+</w:t>
      </w:r>
      <w:r>
        <w:t>-Инкремент значения знакоместа или выбор из предлагаемых вариантов значения в экране ввода</w:t>
      </w:r>
    </w:p>
    <w:p w:rsidR="00A74227" w:rsidRPr="002A4BD2" w:rsidRDefault="00D3718A" w:rsidP="00597129">
      <w:r w:rsidRPr="00AD74D5">
        <w:rPr>
          <w:b/>
          <w:lang w:val="en-US"/>
        </w:rPr>
        <w:t>ESC</w:t>
      </w:r>
      <w:r w:rsidRPr="00D3718A">
        <w:t>-</w:t>
      </w:r>
      <w:r w:rsidR="0097774D">
        <w:t xml:space="preserve"> </w:t>
      </w:r>
      <w:r>
        <w:t xml:space="preserve">Переход на уровень выше в меню, либо в конечном пункте –выход без сохранения параметра в </w:t>
      </w:r>
      <w:r>
        <w:rPr>
          <w:lang w:val="en-US"/>
        </w:rPr>
        <w:t>EEPROM</w:t>
      </w:r>
    </w:p>
    <w:sectPr w:rsidR="00A74227" w:rsidRPr="002A4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070271"/>
    <w:rsid w:val="00037B3B"/>
    <w:rsid w:val="00070271"/>
    <w:rsid w:val="000D4152"/>
    <w:rsid w:val="001968EE"/>
    <w:rsid w:val="002A4BD2"/>
    <w:rsid w:val="00597129"/>
    <w:rsid w:val="00613E72"/>
    <w:rsid w:val="00752FAF"/>
    <w:rsid w:val="0097774D"/>
    <w:rsid w:val="00A74227"/>
    <w:rsid w:val="00AD74D5"/>
    <w:rsid w:val="00CE46EC"/>
    <w:rsid w:val="00D3718A"/>
    <w:rsid w:val="00EE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>
          <o:proxy start="" idref="#_x0000_s1029" connectloc="3"/>
          <o:proxy end="" idref="#_x0000_s1030" connectloc="0"/>
        </o:r>
        <o:r id="V:Rule4" type="connector" idref="#_x0000_s1034">
          <o:proxy start="" idref="#_x0000_s1030" connectloc="2"/>
          <o:proxy end="" idref="#_x0000_s1031" connectloc="0"/>
        </o:r>
        <o:r id="V:Rule6" type="connector" idref="#_x0000_s1035">
          <o:proxy start="" idref="#_x0000_s1031" connectloc="2"/>
          <o:proxy end="" idref="#_x0000_s1032" connectloc="0"/>
        </o:r>
        <o:r id="V:Rule8" type="connector" idref="#_x0000_s1038">
          <o:proxy start="" idref="#_x0000_s1030" connectloc="3"/>
          <o:proxy end="" idref="#_x0000_s1036" connectloc="0"/>
        </o:r>
        <o:r id="V:Rule10" type="connector" idref="#_x0000_s1039">
          <o:proxy start="" idref="#_x0000_s1036" connectloc="2"/>
          <o:proxy end="" idref="#_x0000_s1037" connectloc="0"/>
        </o:r>
        <o:r id="V:Rule13" type="callout" idref="#_x0000_s1042"/>
        <o:r id="V:Rule14" type="callout" idref="#_x0000_s1043"/>
        <o:r id="V:Rule15" type="callout" idref="#_x0000_s1044"/>
        <o:r id="V:Rule16" type="callout" idref="#_x0000_s1045"/>
        <o:r id="V:Rule17" type="callout" idref="#_x0000_s1046"/>
        <o:r id="V:Rule18" type="callout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13</cp:revision>
  <dcterms:created xsi:type="dcterms:W3CDTF">2014-03-26T07:42:00Z</dcterms:created>
  <dcterms:modified xsi:type="dcterms:W3CDTF">2014-03-26T08:10:00Z</dcterms:modified>
</cp:coreProperties>
</file>