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Báthory István Elméleti Líceum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Kolozsvár</w:t>
      </w:r>
    </w:p>
    <w:p w:rsidR="00000000" w:rsidDel="00000000" w:rsidP="00000000" w:rsidRDefault="00000000" w:rsidRPr="00000000" w14:paraId="00000003">
      <w:pPr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Matematika-informatika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intenzív informatika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b w:val="1"/>
          <w:sz w:val="80"/>
          <w:szCs w:val="80"/>
        </w:rPr>
      </w:pPr>
      <w:r w:rsidDel="00000000" w:rsidR="00000000" w:rsidRPr="00000000">
        <w:rPr>
          <w:b w:val="1"/>
          <w:sz w:val="80"/>
          <w:szCs w:val="80"/>
          <w:rtl w:val="0"/>
        </w:rPr>
        <w:t xml:space="preserve">Pacman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540"/>
          <w:tab w:val="left" w:leader="none" w:pos="5580"/>
        </w:tabs>
        <w:spacing w:line="24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ab/>
        <w:t xml:space="preserve">Felkészítő tanár:</w:t>
        <w:tab/>
        <w:t xml:space="preserve">Készítette:</w:t>
      </w:r>
    </w:p>
    <w:p w:rsidR="00000000" w:rsidDel="00000000" w:rsidP="00000000" w:rsidRDefault="00000000" w:rsidRPr="00000000" w14:paraId="0000000C">
      <w:pPr>
        <w:tabs>
          <w:tab w:val="left" w:leader="none" w:pos="540"/>
          <w:tab w:val="left" w:leader="none" w:pos="5580"/>
        </w:tabs>
        <w:spacing w:line="24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ab/>
        <w:t xml:space="preserve">Szász Tünde</w:t>
        <w:tab/>
        <w:t xml:space="preserve">Kaszta Emmánuel 12.B</w:t>
      </w:r>
    </w:p>
    <w:p w:rsidR="00000000" w:rsidDel="00000000" w:rsidP="00000000" w:rsidRDefault="00000000" w:rsidRPr="00000000" w14:paraId="0000000D">
      <w:pPr>
        <w:tabs>
          <w:tab w:val="left" w:leader="none" w:pos="540"/>
          <w:tab w:val="left" w:leader="none" w:pos="5580"/>
        </w:tabs>
        <w:spacing w:line="24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540"/>
          <w:tab w:val="left" w:leader="none" w:pos="5580"/>
        </w:tabs>
        <w:spacing w:line="240" w:lineRule="auto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2023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Tartalomjegyzék</w:t>
      </w:r>
    </w:p>
    <w:p w:rsidR="00000000" w:rsidDel="00000000" w:rsidP="00000000" w:rsidRDefault="00000000" w:rsidRPr="00000000" w14:paraId="00000010">
      <w:pPr>
        <w:tabs>
          <w:tab w:val="right" w:leader="none" w:pos="86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1. A feladat megfogalmazása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3. oldal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right" w:leader="none" w:pos="864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2. Hard és software elemek</w:t>
        <w:tab/>
        <w:t xml:space="preserve">5. oldal</w:t>
      </w:r>
    </w:p>
    <w:p w:rsidR="00000000" w:rsidDel="00000000" w:rsidP="00000000" w:rsidRDefault="00000000" w:rsidRPr="00000000" w14:paraId="00000012">
      <w:pPr>
        <w:tabs>
          <w:tab w:val="right" w:leader="none" w:pos="8640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3. Programozási dokumentáció</w:t>
        <w:tab/>
        <w:t xml:space="preserve">6. oldal</w:t>
      </w:r>
    </w:p>
    <w:p w:rsidR="00000000" w:rsidDel="00000000" w:rsidP="00000000" w:rsidRDefault="00000000" w:rsidRPr="00000000" w14:paraId="00000013">
      <w:pPr>
        <w:tabs>
          <w:tab w:val="right" w:leader="none" w:pos="8640"/>
        </w:tabs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4. Felhasználói dokumentáció</w:t>
        <w:tab/>
        <w:t xml:space="preserve">15. oldal</w:t>
      </w:r>
    </w:p>
    <w:p w:rsidR="00000000" w:rsidDel="00000000" w:rsidP="00000000" w:rsidRDefault="00000000" w:rsidRPr="00000000" w14:paraId="00000014">
      <w:pPr>
        <w:tabs>
          <w:tab w:val="right" w:leader="none" w:pos="8640"/>
        </w:tabs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5. Továbbfejlesztési lehetőségek</w:t>
        <w:tab/>
        <w:t xml:space="preserve">20. oldal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A feladat megfogalmazása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A Pacman egy klasszikus videojáték, amelyben a játékosnak egy sárga kör alakú karaktert kell irányítania, amelyet Pacmannak neveznek. A játék célja, hogy a Pacman átjárjon egy labirintusban, gyűjtsön össze minél több pontot, és elkerülje a szellemeket. </w:t>
      </w:r>
    </w:p>
    <w:p w:rsidR="00000000" w:rsidDel="00000000" w:rsidP="00000000" w:rsidRDefault="00000000" w:rsidRPr="00000000" w14:paraId="0000001A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3345180"/>
            <wp:effectExtent b="0" l="0" r="0" t="0"/>
            <wp:docPr id="23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A labirintusban különböző pontok találhatók, amelyeket a Pacman felvehet. A pontokat általában pöttyként vagy gyümölcsként ábrázolják. Amikor a Pacman felvesz egy pontot, a pontszáma növekszik. Az a cél, hogy a játékos minél több pontot gyűjtsön össze.</w:t>
      </w:r>
    </w:p>
    <w:p w:rsidR="00000000" w:rsidDel="00000000" w:rsidP="00000000" w:rsidRDefault="00000000" w:rsidRPr="00000000" w14:paraId="0000001E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Azonban a Pacmannak óvakodnia kell a szellemektől, amelyek állandó mozgásban vannak a labirintusban. Ha a Pacman és egy szellem találkozik, a Pacman elveszti az életét, és a játékos pontszáma csökken. A játékosnak meg kell próbálnia elkerülni a szellemeket és ügyesen navigálni a labirintusban.</w:t>
      </w:r>
    </w:p>
    <w:p w:rsidR="00000000" w:rsidDel="00000000" w:rsidP="00000000" w:rsidRDefault="00000000" w:rsidRPr="00000000" w14:paraId="0000001F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játék célja az összes pont összegyűjtése a labirintusban anélkül, hogy a Pacmant elkapnák a szellemek. Ha a játékos sikeresen összegyűjti az összes pontot, akkor nyert.</w:t>
      </w:r>
    </w:p>
    <w:p w:rsidR="00000000" w:rsidDel="00000000" w:rsidP="00000000" w:rsidRDefault="00000000" w:rsidRPr="00000000" w14:paraId="00000020">
      <w:pPr>
        <w:tabs>
          <w:tab w:val="left" w:leader="none" w:pos="540"/>
          <w:tab w:val="left" w:leader="none" w:pos="5580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540"/>
          <w:tab w:val="left" w:leader="none" w:pos="5580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050891" cy="5585441"/>
            <wp:effectExtent b="0" l="0" r="0" t="0"/>
            <wp:docPr id="24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0891" cy="5585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540"/>
          <w:tab w:val="left" w:leader="none" w:pos="5580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540"/>
          <w:tab w:val="left" w:leader="none" w:pos="5580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Hard és software elemek</w:t>
      </w:r>
    </w:p>
    <w:p w:rsidR="00000000" w:rsidDel="00000000" w:rsidP="00000000" w:rsidRDefault="00000000" w:rsidRPr="00000000" w14:paraId="00000027">
      <w:pPr>
        <w:tabs>
          <w:tab w:val="left" w:leader="none" w:pos="540"/>
          <w:tab w:val="left" w:leader="none" w:pos="5580"/>
        </w:tabs>
        <w:spacing w:line="240" w:lineRule="auto"/>
        <w:ind w:left="360" w:firstLine="0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Hardverelemek: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Processzor: Legalább 1 GHz-es sebességű processzor.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Memória (RAM): Legalább 1 GB RAM.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Grafikus kártya: Legalább 128 MB dedikált grafikus memóriával rendelkező grafikus kártya.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Kijelző: Legalább 800x600 képpont felbontású kijelző. </w:t>
      </w:r>
    </w:p>
    <w:p w:rsidR="00000000" w:rsidDel="00000000" w:rsidP="00000000" w:rsidRDefault="00000000" w:rsidRPr="00000000" w14:paraId="0000002D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Szoftverelemek: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Operációs rendszer: Windows 7 vagy újabb, macOS, vagy Linux rendszer.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CPU: 64x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Játék Futtató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szoftver: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Unity 2021.3.23f1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verzió vagy újabb</w:t>
      </w:r>
    </w:p>
    <w:p w:rsidR="00000000" w:rsidDel="00000000" w:rsidP="00000000" w:rsidRDefault="00000000" w:rsidRPr="00000000" w14:paraId="00000032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969353" cy="1574493"/>
            <wp:effectExtent b="0" l="0" r="0" t="0"/>
            <wp:docPr id="239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9353" cy="1574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472440"/>
            <wp:effectExtent b="0" l="0" r="0" t="0"/>
            <wp:docPr id="24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540"/>
          <w:tab w:val="left" w:leader="none" w:pos="5580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Programozási dokumentáció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A program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C# (C-Sharp)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programozási nyelvben volt megírva,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Unity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-t használva, tehát objektum orientáltan. A játék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Packages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alapértelmezett, és az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Assets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mappát használja. </w:t>
      </w:r>
    </w:p>
    <w:p w:rsidR="00000000" w:rsidDel="00000000" w:rsidP="00000000" w:rsidRDefault="00000000" w:rsidRPr="00000000" w14:paraId="00000038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Az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Assets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mappa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 csomagot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tartalmaz:</w:t>
      </w:r>
    </w:p>
    <w:p w:rsidR="00000000" w:rsidDel="00000000" w:rsidP="00000000" w:rsidRDefault="00000000" w:rsidRPr="00000000" w14:paraId="00000039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35980" cy="1287780"/>
            <wp:effectExtent b="0" l="0" r="0" t="0"/>
            <wp:docPr id="24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287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Az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Audio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csomag a zenéket,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soundeffectket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tartalmazza, a játék során játszódnak 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1444625"/>
            <wp:effectExtent b="0" l="0" r="0" t="0"/>
            <wp:docPr id="24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99cc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Fonts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csomag a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betűstílust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tartalmazza, ami megjelenik az UI-on a játék során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leader="none" w:pos="540"/>
          <w:tab w:val="left" w:leader="none" w:pos="5580"/>
        </w:tabs>
        <w:spacing w:line="240" w:lineRule="auto"/>
        <w:jc w:val="center"/>
        <w:rPr>
          <w:rFonts w:ascii="Times New Roman" w:cs="Times New Roman" w:eastAsia="Times New Roman" w:hAnsi="Times New Roman"/>
          <w:color w:val="0099cc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114550" cy="1504950"/>
            <wp:effectExtent b="0" l="0" r="0" t="0"/>
            <wp:docPr id="24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color w:val="0099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Physics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csomag a karaktereket-t befojásoló fizikai szabályokat tartalmazzák</w:t>
      </w:r>
    </w:p>
    <w:p w:rsidR="00000000" w:rsidDel="00000000" w:rsidP="00000000" w:rsidRDefault="00000000" w:rsidRPr="00000000" w14:paraId="00000040">
      <w:pPr>
        <w:tabs>
          <w:tab w:val="left" w:leader="none" w:pos="540"/>
          <w:tab w:val="left" w:leader="none" w:pos="5580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1447800" cy="1485900"/>
            <wp:effectExtent b="0" l="0" r="0" t="0"/>
            <wp:docPr id="24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Prefabs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(rövidítve Prefabrications) az Unity játékfejlesztő motorban egy olyan funkció, amely lehetővé teszi előre definiált objektumok létrehozását és újrahasznosítását. A Prefab egy sablon vagy minta, amelyből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könnyen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létrehozhatók az azonos tulajdonságokkal rendelkező objektumok. Ebben az esetben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Ghost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karakterek,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Pellet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és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PowerPellet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sablonja</w:t>
      </w:r>
    </w:p>
    <w:p w:rsidR="00000000" w:rsidDel="00000000" w:rsidP="00000000" w:rsidRDefault="00000000" w:rsidRPr="00000000" w14:paraId="00000042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1513840"/>
            <wp:effectExtent b="0" l="0" r="0" t="0"/>
            <wp:docPr id="24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Scenes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csomag tartalmazza a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játékban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használt 2 felületet, a MainMenu-t és a Game ablakot (“Pacman”)-t</w:t>
      </w:r>
    </w:p>
    <w:p w:rsidR="00000000" w:rsidDel="00000000" w:rsidP="00000000" w:rsidRDefault="00000000" w:rsidRPr="00000000" w14:paraId="00000044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2335410" cy="1745738"/>
            <wp:effectExtent b="0" l="0" r="0" t="0"/>
            <wp:docPr id="24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5410" cy="174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-2539</wp:posOffset>
            </wp:positionV>
            <wp:extent cx="3497580" cy="2021165"/>
            <wp:effectExtent b="0" l="0" r="0" t="0"/>
            <wp:wrapSquare wrapText="bothSides" distB="0" distT="0" distL="114300" distR="114300"/>
            <wp:docPr id="2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0211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/>
        <w:drawing>
          <wp:inline distB="0" distT="0" distL="0" distR="0">
            <wp:extent cx="2295189" cy="2180879"/>
            <wp:effectExtent b="0" l="0" r="0" t="0"/>
            <wp:docPr id="24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189" cy="2180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3063240" cy="2751136"/>
            <wp:effectExtent b="0" l="0" r="0" t="0"/>
            <wp:wrapSquare wrapText="bothSides" distB="0" distT="0" distL="114300" distR="114300"/>
            <wp:docPr id="2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751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Scripts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csomag tartalmazza a játék során felhasznált összes C# osztályt</w:t>
      </w:r>
    </w:p>
    <w:p w:rsidR="00000000" w:rsidDel="00000000" w:rsidP="00000000" w:rsidRDefault="00000000" w:rsidRPr="00000000" w14:paraId="00000049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1434465"/>
            <wp:effectExtent b="0" l="0" r="0" t="0"/>
            <wp:docPr id="24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Az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AudioManager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és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Sound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osztályok kezelik a zenék indítását, megállítását és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egyéb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dolgokat. Ezeket a scripteket a “AudioManager” GameObject használja.</w:t>
      </w:r>
    </w:p>
    <w:p w:rsidR="00000000" w:rsidDel="00000000" w:rsidP="00000000" w:rsidRDefault="00000000" w:rsidRPr="00000000" w14:paraId="0000004B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Node, Passage, Pellet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és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PowerPellet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osztály a pályán lévő elemek rendszerezésére van.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(az 1.ábrán látható, zöld pont)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segítségével tudjuk hol, milyen irányba fordulhatnak az entity-k;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Passage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osztály átteleportálja az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-ket a pályán megjelenő két kivezető cső ellentétes oldalára;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(Teleportálás vázolva a 2.ábrán)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Pellet és PowerPellet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osztály viszont számon tartja a megevett bogyók számát és ha Pacman megeheti-e a Ghostokat;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061956" cy="1693825"/>
            <wp:effectExtent b="0" l="0" r="0" t="0"/>
            <wp:wrapSquare wrapText="bothSides" distB="0" distT="0" distL="114300" distR="114300"/>
            <wp:docPr id="2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1956" cy="1693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0" distT="0" distL="0" distR="0">
            <wp:extent cx="3824705" cy="1200221"/>
            <wp:effectExtent b="0" l="0" r="0" t="0"/>
            <wp:docPr id="25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705" cy="1200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2. ábra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1.ábra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Ghost, GhostBehavior, GhostChase, GhostEyes, GhostFrightened, GhostHome, GhostScatter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 szellemek állapotát kezelik.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Ghost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és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GhostEyes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kezeli a szellemek animációját és kinézetét;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GhostsBehavior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összesíti a szellemek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állapotváltozásait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GhostChase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osztály arra a módra van, amikor a szellemek elkezdik követni Pacmant. Ez a követés egy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kereső-algoritmust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használ;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(3.ábra)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GhostScatter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arra a szellem-állapotra van, amikor a szellemek felhagynak kis időre Pacman követésével, és elindulnak kiszámíthatatlan irányokba egy adott időre;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GhostFrightened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osztály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GhostChase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ellentéte, a szellemek menekülnek Pacman elől amíg PowerPellet hatása le nem jár;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(4.ábra)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Legvégül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GhostHome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kezeli a szellemek kezdeti pozícióját amikor a szellemek otthon, a kis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kockákban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vannak vagy miután megette őket Pacman, vagy a játék kezdete elején;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(5.ábra)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kereső algoritmus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amit a szellemek használnak, megnézi minden Node-nál a szomszédai közül melyik van közelebb/távolabb Pacman pozíciójához, és legvégül arra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mennek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tovább;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Szellemként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 keresett pozíció változik.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66"/>
          <w:sz w:val="28"/>
          <w:szCs w:val="28"/>
          <w:u w:val="none"/>
          <w:shd w:fill="auto" w:val="clear"/>
          <w:vertAlign w:val="baseline"/>
          <w:rtl w:val="0"/>
        </w:rPr>
        <w:t xml:space="preserve">Ghost_Blinky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66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acman pozícióját követi, viszont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ffff"/>
          <w:sz w:val="28"/>
          <w:szCs w:val="28"/>
          <w:u w:val="none"/>
          <w:shd w:fill="auto" w:val="clear"/>
          <w:vertAlign w:val="baseline"/>
          <w:rtl w:val="0"/>
        </w:rPr>
        <w:t xml:space="preserve">Ghost_Inky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acman elotti, (+(Pacman.direction + 4.5)),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Ghost_Pinky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pedig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acman háta mögötti (-(Pacman.direction + 4.5)) pozíciót veszi célba.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(3.ábra)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958794" cy="2854454"/>
            <wp:effectExtent b="0" l="0" r="0" t="0"/>
            <wp:docPr id="25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8794" cy="2854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811780" cy="3022600"/>
            <wp:effectExtent b="0" l="0" r="0" t="0"/>
            <wp:wrapSquare wrapText="bothSides" distB="0" distT="0" distL="114300" distR="114300"/>
            <wp:docPr id="2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302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4.ábra</w:t>
      </w:r>
    </w:p>
    <w:p w:rsidR="00000000" w:rsidDel="00000000" w:rsidP="00000000" w:rsidRDefault="00000000" w:rsidRPr="00000000" w14:paraId="00000060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                      3.ábra</w:t>
      </w:r>
    </w:p>
    <w:p w:rsidR="00000000" w:rsidDel="00000000" w:rsidP="00000000" w:rsidRDefault="00000000" w:rsidRPr="00000000" w14:paraId="00000061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009775" cy="1619250"/>
            <wp:effectExtent b="0" l="0" r="0" t="0"/>
            <wp:docPr id="25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             5.ábra</w:t>
      </w:r>
    </w:p>
    <w:p w:rsidR="00000000" w:rsidDel="00000000" w:rsidP="00000000" w:rsidRDefault="00000000" w:rsidRPr="00000000" w14:paraId="00000063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Az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AnimatedSprite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és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Movement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osztályok segítségével mozognak az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-k, módosíthatjuk Pacman pozícióját, majd vetítjük ki a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képernyőre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meganimálva a mozgásukat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540"/>
          <w:tab w:val="left" w:leader="none" w:pos="5580"/>
        </w:tabs>
        <w:spacing w:line="240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PauseMenu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osztály megjeleníti a PauseMenu UI-t. Ennek segítségével szünetelhetjük a játékot menet közben, akár ki is léphetünk, vagy scene-t válthatunk „Pacman”-ről „MainMenu”-re. 3 gombot tartalmaz a PauseMenuUI, egyik „RESUME”, másik „MAIN MENU” és legutolsó „EXIT GAME”.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(6,7. ábra)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/>
        <w:drawing>
          <wp:inline distB="0" distT="0" distL="0" distR="0">
            <wp:extent cx="3568420" cy="2951046"/>
            <wp:effectExtent b="0" l="0" r="0" t="0"/>
            <wp:docPr id="2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420" cy="2951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    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4400550</wp:posOffset>
            </wp:positionH>
            <wp:positionV relativeFrom="paragraph">
              <wp:posOffset>34290</wp:posOffset>
            </wp:positionV>
            <wp:extent cx="1543050" cy="1657350"/>
            <wp:effectExtent b="0" l="0" r="0" t="0"/>
            <wp:wrapSquare wrapText="bothSides" distB="0" distT="0" distL="114300" distR="114300"/>
            <wp:docPr id="2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657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4876800</wp:posOffset>
                </wp:positionH>
                <wp:positionV relativeFrom="paragraph">
                  <wp:posOffset>1734820</wp:posOffset>
                </wp:positionV>
                <wp:extent cx="1217295" cy="1414145"/>
                <wp:effectExtent b="0" l="0" r="0" t="0"/>
                <wp:wrapSquare wrapText="bothSides" distB="45720" distT="45720" distL="114300" distR="114300"/>
                <wp:docPr id="2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742115" y="3077690"/>
                          <a:ext cx="12077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7.ábra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4876800</wp:posOffset>
                </wp:positionH>
                <wp:positionV relativeFrom="paragraph">
                  <wp:posOffset>1734820</wp:posOffset>
                </wp:positionV>
                <wp:extent cx="1217295" cy="1414145"/>
                <wp:effectExtent b="0" l="0" r="0" t="0"/>
                <wp:wrapSquare wrapText="bothSides" distB="45720" distT="45720" distL="114300" distR="114300"/>
                <wp:docPr id="218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729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8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6.ábra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GameOver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osztály megjeleníti a GameOver UI ablakot. Itt a gombokért, a GameOver sound lejátszásáért és a map feltakarításáért felelős ez a 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képernyőre kiírja a mostani játék alatt összegyűjtött pontokat és a eddigi legnagyobb pontszámot, amit elért a játékos.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(8,9.ábra)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1476375" cy="1333500"/>
            <wp:effectExtent b="0" l="0" r="0" t="0"/>
            <wp:docPr id="2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-4444</wp:posOffset>
            </wp:positionV>
            <wp:extent cx="3390900" cy="2777490"/>
            <wp:effectExtent b="0" l="0" r="0" t="0"/>
            <wp:wrapSquare wrapText="bothSides" distB="0" distT="0" distL="114300" distR="114300"/>
            <wp:docPr id="2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7774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        9.ábra</w:t>
      </w:r>
    </w:p>
    <w:p w:rsidR="00000000" w:rsidDel="00000000" w:rsidP="00000000" w:rsidRDefault="00000000" w:rsidRPr="00000000" w14:paraId="0000006D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                      </w:t>
      </w:r>
    </w:p>
    <w:p w:rsidR="00000000" w:rsidDel="00000000" w:rsidP="00000000" w:rsidRDefault="00000000" w:rsidRPr="00000000" w14:paraId="00000070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                             8.ábra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Pacman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osztály felelős pacman navigációs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irányításának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frissítésére. Ez akkor fog megtörténni, mikor a program érzékel egy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KeyInputot</w:t>
      </w: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. Ha a megadott WASD vagy ↑ ↓ → ← gombokat le vannak nyomva akkor frissül pacman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irányvektora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ennek függvényében.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Ez az osztály felelős pacman meghalási animációjának elindításáért, és pacman pozíciójának,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ResetState()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ért.</w:t>
      </w:r>
    </w:p>
    <w:p w:rsidR="00000000" w:rsidDel="00000000" w:rsidP="00000000" w:rsidRDefault="00000000" w:rsidRPr="00000000" w14:paraId="00000073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SettingsManager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osztály végez mindent ami a Settings UI-al kapcsolatos. A gombok megjelenítése, ezek működése, a játék frissítése a beállítások függvényében. Legfontosabb dolga hogy elmenti a felhasználó által módosított beállításokat, majd ezeket a játék összes ezentúli betöltése után felhasznál.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(10, 11.ábra)</w:t>
      </w:r>
    </w:p>
    <w:p w:rsidR="00000000" w:rsidDel="00000000" w:rsidP="00000000" w:rsidRDefault="00000000" w:rsidRPr="00000000" w14:paraId="00000075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067300" cy="2362200"/>
            <wp:effectExtent b="0" l="0" r="0" t="0"/>
            <wp:docPr id="2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                                              10.ábra</w:t>
      </w:r>
    </w:p>
    <w:p w:rsidR="00000000" w:rsidDel="00000000" w:rsidP="00000000" w:rsidRDefault="00000000" w:rsidRPr="00000000" w14:paraId="00000078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2540</wp:posOffset>
            </wp:positionV>
            <wp:extent cx="2095500" cy="1912484"/>
            <wp:effectExtent b="0" l="0" r="0" t="0"/>
            <wp:wrapSquare wrapText="bothSides" distB="0" distT="0" distL="114300" distR="114300"/>
            <wp:docPr id="2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124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11.ábra</w:t>
      </w:r>
    </w:p>
    <w:p w:rsidR="00000000" w:rsidDel="00000000" w:rsidP="00000000" w:rsidRDefault="00000000" w:rsidRPr="00000000" w14:paraId="0000007C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Az első scene-t, a MainMenu-t ami teljesen összefűzi az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StartManager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osztály. Itt a különböző UI-ok megjelenítésére szükséges funkciók vannak mint például: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PlayButton(),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SettingButton(),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CloseSettings(),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HowToPlayButton(),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és egyebek.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(12.ábra)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leader="none" w:pos="540"/>
          <w:tab w:val="left" w:leader="none" w:pos="5580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827307" cy="3841050"/>
            <wp:effectExtent b="0" l="0" r="0" t="0"/>
            <wp:docPr id="2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7307" cy="384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12.ábra</w:t>
      </w:r>
    </w:p>
    <w:p w:rsidR="00000000" w:rsidDel="00000000" w:rsidP="00000000" w:rsidRDefault="00000000" w:rsidRPr="00000000" w14:paraId="00000081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Legutolsó sorban, a másik scene-t összekötő osztálya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GameManager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Ez az osztály frissíti, hívja meg a többi osztály függvényeit amelyeket összerakva egy összeálló, kohézív játékfelületet kapunk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.(13.ábra)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Főbb függvényei amelyet felhasznál az a: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NewGame(),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NewRound(),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ResetState(),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GameOver(),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MainMenu()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és sok egyébb. Olyan függvényeket is implementál, amelyek minden új körben megváltoztatják a szellemek színét egy random 3 színre a 4 alap szín közül (lásd: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getRandomColors()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Ebben a osztályban változtatja a játék nehézségét minden kör lejátszása után, de viszont ha egy új játék kezdődik, visszaállít mindent az alap kezdőértékre.</w:t>
      </w:r>
    </w:p>
    <w:p w:rsidR="00000000" w:rsidDel="00000000" w:rsidP="00000000" w:rsidRDefault="00000000" w:rsidRPr="00000000" w14:paraId="00000087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761225" cy="5386357"/>
            <wp:effectExtent b="0" l="0" r="0" t="0"/>
            <wp:docPr id="2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1225" cy="5386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13.ábra</w:t>
      </w:r>
    </w:p>
    <w:p w:rsidR="00000000" w:rsidDel="00000000" w:rsidP="00000000" w:rsidRDefault="00000000" w:rsidRPr="00000000" w14:paraId="0000008A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Felhasználói dokumentáció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leader="none" w:pos="540"/>
          <w:tab w:val="left" w:leader="none" w:pos="5580"/>
        </w:tabs>
        <w:spacing w:line="24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játékot a Pacman.exe állomány segítségével lehet elindítani.</w:t>
      </w:r>
    </w:p>
    <w:p w:rsidR="00000000" w:rsidDel="00000000" w:rsidP="00000000" w:rsidRDefault="00000000" w:rsidRPr="00000000" w14:paraId="00000092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1260475"/>
            <wp:effectExtent b="0" l="0" r="0" t="0"/>
            <wp:docPr id="2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Ezután a játék elindul. Az első scene amit lerenderel a játék az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MainMenu scene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lesz. Ezen az UI felületen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 gomb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található.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3443605"/>
            <wp:effectExtent b="0" l="0" r="0" t="0"/>
            <wp:docPr id="23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Ahogy betölt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MainMenu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elindul a vele párosított „BGM”  háttérzene.</w:t>
      </w:r>
    </w:p>
    <w:p w:rsidR="00000000" w:rsidDel="00000000" w:rsidP="00000000" w:rsidRDefault="00000000" w:rsidRPr="00000000" w14:paraId="00000097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Az első interaktálható gomb az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START GAME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gomb. Ezt megnyomva a játék be fogja tölteni a 2. scene-t,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Pacman scene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-t. Itt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GameManager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helyreállítja az entity-ket, a kezdő zenét elindítja, majd kezd egy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NewGame()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-et.</w:t>
      </w:r>
    </w:p>
    <w:p w:rsidR="00000000" w:rsidDel="00000000" w:rsidP="00000000" w:rsidRDefault="00000000" w:rsidRPr="00000000" w14:paraId="00000098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második gomb az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SETTINGS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gomb. Ezt megnyomva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StartManager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osztályunk betölti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SettingsUI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-t. </w:t>
      </w:r>
    </w:p>
    <w:p w:rsidR="00000000" w:rsidDel="00000000" w:rsidP="00000000" w:rsidRDefault="00000000" w:rsidRPr="00000000" w14:paraId="00000099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3386455"/>
            <wp:effectExtent b="0" l="0" r="0" t="0"/>
            <wp:docPr id="23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Ezen a felületen újabb interaktálható gombok jelennek meg. Ezek segítségével módosítható: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Játék ablakának mérete (első gomb, ebben az esetben a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képernyő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méret beállítása: 1600 x 900)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Játék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teljes képernyő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beállítási gombja (2. gomb, a „FULLSCREEN” szöveg előtt, a pacman icon jelzi ha be van kapcsolva)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Játék felbontása (3. gomb, a „GRAPHICS” szöveg után, ebben az esetben „VERY HIGH” felbontás)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Játék zenéjének hangereje (pacman pozíciója jelzi a hangerő magasságát)</w:t>
      </w:r>
    </w:p>
    <w:p w:rsidR="00000000" w:rsidDel="00000000" w:rsidP="00000000" w:rsidRDefault="00000000" w:rsidRPr="00000000" w14:paraId="0000009F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Ezeken az ablakon végrehajtott módosítások elmentődnek, amint a felhasználó kilép a SettingsUI-ból, 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PIROS 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re kattintva a bal felső sarokban.</w:t>
      </w:r>
    </w:p>
    <w:p w:rsidR="00000000" w:rsidDel="00000000" w:rsidP="00000000" w:rsidRDefault="00000000" w:rsidRPr="00000000" w14:paraId="000000A0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harmadik interaktálható gomb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MainMenu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-ben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HOW TO PLAY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gomb.</w:t>
      </w:r>
    </w:p>
    <w:p w:rsidR="00000000" w:rsidDel="00000000" w:rsidP="00000000" w:rsidRDefault="00000000" w:rsidRPr="00000000" w14:paraId="000000A2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Erre rákattintva bejön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HowToPlayUI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ahol megjeleníti a játék a használati utasítást. Ez egy interaktálható Panel, ahol lehet lefelé görgetni/egérrel scrollolni.</w:t>
      </w:r>
    </w:p>
    <w:p w:rsidR="00000000" w:rsidDel="00000000" w:rsidP="00000000" w:rsidRDefault="00000000" w:rsidRPr="00000000" w14:paraId="000000A3">
      <w:pPr>
        <w:tabs>
          <w:tab w:val="left" w:leader="none" w:pos="540"/>
          <w:tab w:val="left" w:leader="none" w:pos="5580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071533" cy="2881996"/>
            <wp:effectExtent b="0" l="0" r="0" t="0"/>
            <wp:docPr id="2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1533" cy="2881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4">
      <w:pPr>
        <w:tabs>
          <w:tab w:val="left" w:leader="none" w:pos="540"/>
          <w:tab w:val="left" w:leader="none" w:pos="5580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092970" cy="2892546"/>
            <wp:effectExtent b="0" l="0" r="0" t="0"/>
            <wp:docPr id="2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2970" cy="2892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leader="none" w:pos="540"/>
          <w:tab w:val="left" w:leader="none" w:pos="5580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314208" cy="3076677"/>
            <wp:effectExtent b="0" l="0" r="0" t="0"/>
            <wp:docPr id="2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208" cy="3076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9">
      <w:pPr>
        <w:tabs>
          <w:tab w:val="left" w:leader="none" w:pos="540"/>
          <w:tab w:val="left" w:leader="none" w:pos="5580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288252" cy="2959388"/>
            <wp:effectExtent b="0" l="0" r="0" t="0"/>
            <wp:docPr id="2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8252" cy="295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Ebből az UI-ból a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PIROS X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használatával lehet kilépni, visszakerülve a MainMenu-be.</w:t>
      </w:r>
    </w:p>
    <w:p w:rsidR="00000000" w:rsidDel="00000000" w:rsidP="00000000" w:rsidRDefault="00000000" w:rsidRPr="00000000" w14:paraId="000000AB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Az legalsó gombbal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MainMenu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-ben, az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-el a játékos bezárhatja a játékot. </w:t>
      </w:r>
    </w:p>
    <w:p w:rsidR="00000000" w:rsidDel="00000000" w:rsidP="00000000" w:rsidRDefault="00000000" w:rsidRPr="00000000" w14:paraId="000000AC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Ha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MainMenu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-ben a felhasználó megnyomja az első gombot,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START GAME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-t akkor a 2. scene fog betölteni. Itt fog lefolyni a játék menete.</w:t>
      </w:r>
    </w:p>
    <w:p w:rsidR="00000000" w:rsidDel="00000000" w:rsidP="00000000" w:rsidRDefault="00000000" w:rsidRPr="00000000" w14:paraId="000000AF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Játek menete közben lehetőség van bármikor megállítani a játékot az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billentyűzet gombbal. Ilyenkor megjelenik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PauseUI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(lásd 6.ábra)</w:t>
      </w:r>
    </w:p>
    <w:p w:rsidR="00000000" w:rsidDel="00000000" w:rsidP="00000000" w:rsidRDefault="00000000" w:rsidRPr="00000000" w14:paraId="000000B0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„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”-ra kattintva, vagy az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billentyűzet gomb megnyomása után folytatódik a játék. A „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MENU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gombra kattintva a játék átvált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MainMenu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scene-re. Az „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EXIT GAME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gomb pedig lezárja az alkalmazást.</w:t>
      </w:r>
    </w:p>
    <w:p w:rsidR="00000000" w:rsidDel="00000000" w:rsidP="00000000" w:rsidRDefault="00000000" w:rsidRPr="00000000" w14:paraId="000000B1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Legvégül, mivel minden pálya kivitele után a játék nehezedik, egy idő után, miután a játékos meghal, megjelenik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GameOverUI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-t (lásd 8.ábra)</w:t>
      </w:r>
    </w:p>
    <w:p w:rsidR="00000000" w:rsidDel="00000000" w:rsidP="00000000" w:rsidRDefault="00000000" w:rsidRPr="00000000" w14:paraId="000000B3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Itt 2 lehetősége van a játékosnak, visszaváltani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MainMenu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scene-re a „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MENU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gombbal, vagy újrakezdeni a játékot a „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RESTART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gombbal.</w:t>
      </w:r>
    </w:p>
    <w:p w:rsidR="00000000" w:rsidDel="00000000" w:rsidP="00000000" w:rsidRDefault="00000000" w:rsidRPr="00000000" w14:paraId="000000B4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Fejlesztési lehetőségek</w:t>
      </w:r>
    </w:p>
    <w:p w:rsidR="00000000" w:rsidDel="00000000" w:rsidP="00000000" w:rsidRDefault="00000000" w:rsidRPr="00000000" w14:paraId="000000C3">
      <w:pPr>
        <w:tabs>
          <w:tab w:val="left" w:leader="none" w:pos="540"/>
          <w:tab w:val="left" w:leader="none" w:pos="5580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játékban sok fejlesztésnek való hely van: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Több pálya hozzáadása a játékhoz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Nehézségi fokozatok beállítása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menu kijelzőt dinamikusabbá tenni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Több szellem variációt, esetleg a felhasználó által hozzáadott ellenségeket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0"/>
          <w:tab w:val="left" w:leader="none" w:pos="5580"/>
        </w:tabs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felhasználó által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készített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pályák mentése és játszhatósága</w:t>
      </w:r>
    </w:p>
    <w:sectPr>
      <w:footerReference r:id="rId42" w:type="defaul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mbria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scadia Mono"/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Rule="auto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1"/>
      <w:tblW w:w="9576.0" w:type="dxa"/>
      <w:jc w:val="left"/>
      <w:tblInd w:w="-115.0" w:type="dxa"/>
      <w:tblLayout w:type="fixed"/>
      <w:tblLook w:val="0400"/>
    </w:tblPr>
    <w:tblGrid>
      <w:gridCol w:w="4309"/>
      <w:gridCol w:w="958"/>
      <w:gridCol w:w="4309"/>
      <w:tblGridChange w:id="0">
        <w:tblGrid>
          <w:gridCol w:w="4309"/>
          <w:gridCol w:w="958"/>
          <w:gridCol w:w="4309"/>
        </w:tblGrid>
      </w:tblGridChange>
    </w:tblGrid>
    <w:tr>
      <w:trPr>
        <w:cantSplit w:val="0"/>
        <w:trHeight w:val="151" w:hRule="atLeast"/>
        <w:tblHeader w:val="0"/>
      </w:trPr>
      <w:tc>
        <w:tcPr>
          <w:tcBorders>
            <w:bottom w:color="4f81bd" w:space="0" w:sz="4" w:val="single"/>
          </w:tcBorders>
        </w:tcPr>
        <w:p w:rsidR="00000000" w:rsidDel="00000000" w:rsidP="00000000" w:rsidRDefault="00000000" w:rsidRPr="00000000" w14:paraId="000000C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rPr>
              <w:rFonts w:ascii="Cambria" w:cs="Cambria" w:eastAsia="Cambria" w:hAnsi="Cambria"/>
              <w:b w:val="1"/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C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40" w:lineRule="auto"/>
            <w:rPr>
              <w:rFonts w:ascii="Cambria" w:cs="Cambria" w:eastAsia="Cambria" w:hAnsi="Cambria"/>
              <w:color w:val="000000"/>
            </w:rPr>
          </w:pPr>
          <w:r w:rsidDel="00000000" w:rsidR="00000000" w:rsidRPr="00000000">
            <w:rPr>
              <w:rFonts w:ascii="Cambria" w:cs="Cambria" w:eastAsia="Cambria" w:hAnsi="Cambria"/>
              <w:b w:val="1"/>
              <w:color w:val="000000"/>
              <w:rtl w:val="0"/>
            </w:rPr>
            <w:t xml:space="preserve"> </w:t>
          </w:r>
          <w:r w:rsidDel="00000000" w:rsidR="00000000" w:rsidRPr="00000000">
            <w:rPr>
              <w:color w:val="00000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color w:val="000000"/>
              <w:rtl w:val="0"/>
            </w:rPr>
            <w:t xml:space="preserve">. oldal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4f81bd" w:space="0" w:sz="4" w:val="single"/>
          </w:tcBorders>
        </w:tcPr>
        <w:p w:rsidR="00000000" w:rsidDel="00000000" w:rsidP="00000000" w:rsidRDefault="00000000" w:rsidRPr="00000000" w14:paraId="000000C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rPr>
              <w:rFonts w:ascii="Cambria" w:cs="Cambria" w:eastAsia="Cambria" w:hAnsi="Cambria"/>
              <w:b w:val="1"/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150" w:hRule="atLeast"/>
        <w:tblHeader w:val="0"/>
      </w:trPr>
      <w:tc>
        <w:tcPr>
          <w:tcBorders>
            <w:top w:color="4f81bd" w:space="0" w:sz="4" w:val="single"/>
          </w:tcBorders>
        </w:tcPr>
        <w:p w:rsidR="00000000" w:rsidDel="00000000" w:rsidP="00000000" w:rsidRDefault="00000000" w:rsidRPr="00000000" w14:paraId="000000C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rPr>
              <w:rFonts w:ascii="Cambria" w:cs="Cambria" w:eastAsia="Cambria" w:hAnsi="Cambria"/>
              <w:b w:val="1"/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C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1"/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4f81bd" w:space="0" w:sz="4" w:val="single"/>
          </w:tcBorders>
        </w:tcPr>
        <w:p w:rsidR="00000000" w:rsidDel="00000000" w:rsidP="00000000" w:rsidRDefault="00000000" w:rsidRPr="00000000" w14:paraId="000000C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rPr>
              <w:rFonts w:ascii="Cambria" w:cs="Cambria" w:eastAsia="Cambria" w:hAnsi="Cambria"/>
              <w:b w:val="1"/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D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4"/>
      <w:numFmt w:val="decimal"/>
      <w:lvlText w:val="%1."/>
      <w:lvlJc w:val="left"/>
      <w:pPr>
        <w:ind w:left="720" w:hanging="360"/>
      </w:pPr>
      <w:rPr>
        <w:sz w:val="44"/>
        <w:szCs w:val="4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b w:val="1"/>
        <w:i w:val="0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hu-H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NormalWeb">
    <w:name w:val="Normal (Web)"/>
    <w:basedOn w:val="Normal"/>
    <w:uiPriority w:val="99"/>
    <w:unhideWhenUsed w:val="1"/>
    <w:rsid w:val="00E35EA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 w:val="1"/>
    <w:rsid w:val="00E35EA2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20" Type="http://schemas.openxmlformats.org/officeDocument/2006/relationships/image" Target="media/image29.png"/><Relationship Id="rId42" Type="http://schemas.openxmlformats.org/officeDocument/2006/relationships/footer" Target="footer1.xml"/><Relationship Id="rId41" Type="http://schemas.openxmlformats.org/officeDocument/2006/relationships/image" Target="media/image7.png"/><Relationship Id="rId22" Type="http://schemas.openxmlformats.org/officeDocument/2006/relationships/image" Target="media/image32.png"/><Relationship Id="rId21" Type="http://schemas.openxmlformats.org/officeDocument/2006/relationships/image" Target="media/image5.png"/><Relationship Id="rId24" Type="http://schemas.openxmlformats.org/officeDocument/2006/relationships/image" Target="media/image1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jpg"/><Relationship Id="rId26" Type="http://schemas.openxmlformats.org/officeDocument/2006/relationships/image" Target="media/image9.png"/><Relationship Id="rId25" Type="http://schemas.openxmlformats.org/officeDocument/2006/relationships/image" Target="media/image31.png"/><Relationship Id="rId28" Type="http://schemas.openxmlformats.org/officeDocument/2006/relationships/image" Target="media/image35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23.png"/><Relationship Id="rId8" Type="http://schemas.openxmlformats.org/officeDocument/2006/relationships/image" Target="media/image27.png"/><Relationship Id="rId31" Type="http://schemas.openxmlformats.org/officeDocument/2006/relationships/image" Target="media/image10.png"/><Relationship Id="rId30" Type="http://schemas.openxmlformats.org/officeDocument/2006/relationships/image" Target="media/image6.png"/><Relationship Id="rId11" Type="http://schemas.openxmlformats.org/officeDocument/2006/relationships/image" Target="media/image19.png"/><Relationship Id="rId33" Type="http://schemas.openxmlformats.org/officeDocument/2006/relationships/image" Target="media/image12.png"/><Relationship Id="rId10" Type="http://schemas.openxmlformats.org/officeDocument/2006/relationships/image" Target="media/image25.png"/><Relationship Id="rId32" Type="http://schemas.openxmlformats.org/officeDocument/2006/relationships/image" Target="media/image2.png"/><Relationship Id="rId13" Type="http://schemas.openxmlformats.org/officeDocument/2006/relationships/image" Target="media/image21.png"/><Relationship Id="rId35" Type="http://schemas.openxmlformats.org/officeDocument/2006/relationships/image" Target="media/image14.png"/><Relationship Id="rId12" Type="http://schemas.openxmlformats.org/officeDocument/2006/relationships/image" Target="media/image34.png"/><Relationship Id="rId34" Type="http://schemas.openxmlformats.org/officeDocument/2006/relationships/image" Target="media/image22.png"/><Relationship Id="rId15" Type="http://schemas.openxmlformats.org/officeDocument/2006/relationships/image" Target="media/image26.png"/><Relationship Id="rId37" Type="http://schemas.openxmlformats.org/officeDocument/2006/relationships/image" Target="media/image17.png"/><Relationship Id="rId14" Type="http://schemas.openxmlformats.org/officeDocument/2006/relationships/image" Target="media/image20.png"/><Relationship Id="rId36" Type="http://schemas.openxmlformats.org/officeDocument/2006/relationships/image" Target="media/image15.png"/><Relationship Id="rId17" Type="http://schemas.openxmlformats.org/officeDocument/2006/relationships/image" Target="media/image18.png"/><Relationship Id="rId39" Type="http://schemas.openxmlformats.org/officeDocument/2006/relationships/image" Target="media/image13.png"/><Relationship Id="rId16" Type="http://schemas.openxmlformats.org/officeDocument/2006/relationships/image" Target="media/image28.png"/><Relationship Id="rId38" Type="http://schemas.openxmlformats.org/officeDocument/2006/relationships/image" Target="media/image3.png"/><Relationship Id="rId19" Type="http://schemas.openxmlformats.org/officeDocument/2006/relationships/image" Target="media/image4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j9huSVSwQZhH/VkxlS67zs+4VSA==">AMUW2mVA0VE5DRoJtM+BSsFtfVS1G9t9eSOdSjg3oPVnh7ZiUFpFC8lrx6HVvX2MlaDxyHyKFFSIvvWcrVB6uXc6dFGfd+mlsMeU9PRcqKhK71er950PjLY58Oy6MdVrEbvYU3eM4qRoJb0RX/s5nWyA3yuSozWE7K+xMF9EK2V0S3RDTjEGQzdBEwS9nhuaTKoixdV+yIGn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2023-05-01T08:17:00Z</dcterms:created>
  <dc:creator>Bathory21_22</dc:creator>
</cp:coreProperties>
</file>