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Desjardins</w:t>
      </w:r>
      <w:r/>
    </w:p>
    <w:p w14:paraId="3E189D19">
      <w:pPr>
        <w:pBdr/>
        <w:spacing/>
        <w:ind/>
        <w:rPr/>
      </w:pPr>
      <w:r/>
      <w:r/>
      <w:r/>
    </w:p>
    <w:p w14:paraId="51C99D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Desjardins — « Frais à prévoir » — 🟡 À intégrer</w:t>
      </w:r>
      <w:r/>
    </w:p>
    <w:p w14:paraId="6A427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L’article, daté du </w:t>
      </w:r>
      <w:r>
        <w:rPr>
          <w:rFonts w:ascii="Times" w:hAnsi="Times" w:eastAsia="Times" w:cs="Times"/>
          <w:b/>
          <w:color w:val="000000"/>
          <w:sz w:val="24"/>
        </w:rPr>
        <w:t xml:space="preserve">19 novembre 2025</w:t>
      </w:r>
      <w:r>
        <w:rPr>
          <w:rFonts w:ascii="Times" w:hAnsi="Times" w:eastAsia="Times" w:cs="Times"/>
          <w:color w:val="000000"/>
          <w:sz w:val="24"/>
        </w:rPr>
        <w:t xml:space="preserve">, couvre explicitement les candidats au PVT et propose une liste structurée de dépenses avant et après l’arrivée. Il renvoie également vers plusieurs ressources officielles. </w:t>
      </w:r>
      <w:r/>
    </w:p>
    <w:p w14:paraId="37CF03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Utilisation autorisée</w:t>
      </w:r>
      <w:r/>
    </w:p>
    <w:p w14:paraId="1F7B36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créer une liste de postes budgétaires;</w:t>
      </w:r>
      <w:r/>
    </w:p>
    <w:p w14:paraId="7384FA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expliquer les frais d’installation;</w:t>
      </w:r>
      <w:r/>
    </w:p>
    <w:p w14:paraId="16B875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préparer un fonds d’urgence;</w:t>
      </w:r>
      <w:r/>
    </w:p>
    <w:p w14:paraId="14BBEC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anticiper logement, transport, téléphone, vêtements et démarches;</w:t>
      </w:r>
      <w:r/>
    </w:p>
    <w:p w14:paraId="13D82E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donner une méthode de préparation financière.</w:t>
      </w:r>
      <w:r/>
    </w:p>
    <w:p w14:paraId="3956BE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Limites</w:t>
      </w:r>
      <w:r/>
    </w:p>
    <w:p w14:paraId="7D1116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Desjardins est une institution financière avec un intérêt commercial;</w:t>
      </w:r>
      <w:r/>
    </w:p>
    <w:p w14:paraId="7BD977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prix, salaires minimums, frais et produits bancaires vieillissent rapidement;</w:t>
      </w:r>
      <w:r/>
    </w:p>
    <w:p w14:paraId="786FC0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montants officiels doivent être relus sur la source gouvernementale correspondante.</w:t>
      </w:r>
      <w:r/>
    </w:p>
    <w:p w14:paraId="2E170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Verdict : source pratique de niveau B/C.</w:t>
      </w:r>
      <w:r/>
    </w:p>
    <w:p w14:paraId="055933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N. Desjardins — « Préparer son budget » — 🟡 À intégrer avec avertissement</w:t>
      </w:r>
      <w:r/>
    </w:p>
    <w:p w14:paraId="55C83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L’article est daté du </w:t>
      </w:r>
      <w:r>
        <w:rPr>
          <w:rFonts w:ascii="Times" w:hAnsi="Times" w:eastAsia="Times" w:cs="Times"/>
          <w:b/>
          <w:color w:val="000000"/>
          <w:sz w:val="24"/>
        </w:rPr>
        <w:t xml:space="preserve">17 novembre 2025</w:t>
      </w:r>
      <w:r>
        <w:rPr>
          <w:rFonts w:ascii="Times" w:hAnsi="Times" w:eastAsia="Times" w:cs="Times"/>
          <w:color w:val="000000"/>
          <w:sz w:val="24"/>
        </w:rPr>
        <w:t xml:space="preserve">. Il donne de bonnes catégories budgétaires, mais cite un rapport locatif de l’automne </w:t>
      </w:r>
      <w:r>
        <w:rPr>
          <w:rFonts w:ascii="Times" w:hAnsi="Times" w:eastAsia="Times" w:cs="Times"/>
          <w:b/>
          <w:color w:val="000000"/>
          <w:sz w:val="24"/>
        </w:rPr>
        <w:t xml:space="preserve">2024</w:t>
      </w:r>
      <w:r>
        <w:rPr>
          <w:rFonts w:ascii="Times" w:hAnsi="Times" w:eastAsia="Times" w:cs="Times"/>
          <w:color w:val="000000"/>
          <w:sz w:val="24"/>
        </w:rPr>
        <w:t xml:space="preserve"> et présente un montant national qui ne représente pas nécessairement Montréal, les loyers affichés en 2026 ou la situation particulière d’un nouvel arrivant. </w:t>
      </w:r>
      <w:r/>
    </w:p>
    <w:p w14:paraId="457EE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Certaines explications sur la santé sont également très générales, puisque l’admissibilité et les délais varient selon la province, le statut et les ententes internationales.</w:t>
      </w:r>
      <w:r/>
    </w:p>
    <w:p w14:paraId="21CDB76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Décision</w:t>
      </w:r>
      <w:r/>
    </w:p>
    <w:p w14:paraId="7AFDF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Conserver :</w:t>
      </w:r>
      <w:r/>
    </w:p>
    <w:p w14:paraId="652411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la structure du budget;</w:t>
      </w:r>
      <w:r/>
    </w:p>
    <w:p w14:paraId="2702A6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catégories de dépenses;</w:t>
      </w:r>
      <w:r/>
    </w:p>
    <w:p w14:paraId="7C37FC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liens vers les organismes publics.</w:t>
      </w:r>
      <w:r/>
    </w:p>
    <w:p w14:paraId="0F7C8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Ne pas conserver comme faits permanents :</w:t>
      </w:r>
      <w:r/>
    </w:p>
    <w:p w14:paraId="18C15C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montants de loyer;</w:t>
      </w:r>
      <w:r/>
    </w:p>
    <w:p w14:paraId="207F31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frais bancaires;</w:t>
      </w:r>
      <w:r/>
    </w:p>
    <w:p w14:paraId="09C71B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coûts d’assurance;</w:t>
      </w:r>
      <w:r/>
    </w:p>
    <w:p w14:paraId="27E1AF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délais de couverture;</w:t>
      </w:r>
      <w:r/>
    </w:p>
    <w:p w14:paraId="41E97C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salaires minimums.</w:t>
      </w:r>
      <w:r/>
    </w:p>
    <w:p w14:paraId="737A2FFB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9" w:tooltip="http://www.desjardins.com" w:history="1">
        <w:r>
          <w:rPr>
            <w:rStyle w:val="187"/>
            <w:highlight w:val="none"/>
          </w:rPr>
          <w:t xml:space="preserve">www.desjardins.com</w:t>
        </w:r>
      </w:hyperlink>
      <w:r>
        <w:rPr>
          <w:highlight w:val="none"/>
        </w:rPr>
        <w:br/>
      </w:r>
      <w:r>
        <w:rPr>
          <w:highlight w:val="none"/>
        </w:rPr>
      </w:r>
      <w:hyperlink r:id="rId10" w:tooltip="https://www.desjardins.com/qc/fr/conseils/immigrer-canada-frais-prevoir.html" w:history="1">
        <w:r>
          <w:rPr>
            <w:rStyle w:val="187"/>
            <w:highlight w:val="none"/>
          </w:rPr>
          <w:t xml:space="preserve">https://www.desjardins.com/qc/fr/conseils/immigrer-canada-frais-prevoir.html</w:t>
        </w:r>
        <w:r>
          <w:rPr>
            <w:rStyle w:val="187"/>
            <w:highlight w:val="none"/>
          </w:rPr>
        </w:r>
      </w:hyperlink>
      <w:r>
        <w:rPr>
          <w:highlight w:val="none"/>
        </w:rPr>
        <w:br/>
      </w:r>
      <w:r>
        <w:rPr>
          <w:highlight w:val="none"/>
        </w:rPr>
      </w:r>
      <w:hyperlink r:id="rId11" w:tooltip="https://www.desjardins.com/qc/fr/conseils/preparer-budget-canada.html" w:history="1">
        <w:r>
          <w:rPr>
            <w:rStyle w:val="187"/>
            <w:highlight w:val="none"/>
          </w:rPr>
          <w:t xml:space="preserve">https://www.desjardins.com/qc/fr/conseils/preparer-budget-canada.html</w:t>
        </w:r>
        <w:r>
          <w:rPr>
            <w:rStyle w:val="187"/>
            <w:highlight w:val="none"/>
          </w:rPr>
        </w:r>
        <w:r>
          <w:rPr>
            <w:rStyle w:val="187"/>
          </w:rPr>
        </w:r>
      </w:hyperlink>
      <w:r/>
    </w:p>
    <w:p w14:paraId="76F996E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8B2F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www.desjardins.com" TargetMode="External"/><Relationship Id="rId10" Type="http://schemas.openxmlformats.org/officeDocument/2006/relationships/hyperlink" Target="https://www.desjardins.com/qc/fr/conseils/immigrer-canada-frais-prevoir.html" TargetMode="External"/><Relationship Id="rId11" Type="http://schemas.openxmlformats.org/officeDocument/2006/relationships/hyperlink" Target="https://www.desjardins.com/qc/fr/conseils/preparer-budget-canada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2026-07-28T00:51:08Z</dcterms:modified>
</cp:coreProperties>
</file>