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🌿 PhenoAI Studio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Documento de Arquitetura de Software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16161"/>
          <w:sz w:val="26"/>
          <w:szCs w:val="26"/>
        </w:rPr>
        <w:t xml:space="preserve">Software Architecture Document (SAD)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66BB6A" w:sz="6"/>
          <w:bottom w:val="single" w:color="66BB6A" w:sz="6"/>
        </w:pBdr>
        <w:spacing w:after="100" w:before="100"/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Versão 1.0  |  Junho 2026  |  TechForge Senior Engineering Team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Visão Arquitetural</w:t>
      </w:r>
    </w:p>
    <w:p>
      <w:r>
        <w:rPr>
          <w:rFonts w:ascii="Calibri" w:cs="Calibri" w:eastAsia="Calibri" w:hAnsi="Calibri"/>
          <w:sz w:val="22"/>
          <w:szCs w:val="22"/>
        </w:rPr>
        <w:t xml:space="preserve">O PhenoAI Studio adota uma arquitetura de microsserviços cloud-native, projetada para escalabilidade horizontal, resiliência e manutenibilidade. A comunicação entre serviços é realizada via APIs REST síncronas para operações de baixa latência e via mensageria assíncrona (Apache Kafka) para processamento de imagens e chamadas de IA.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Princípios Arquiteturais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Domain-Driven Design (DDD): cada microsserviço é alinhado a um bounded context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Clean Architecture: separação em camadas (Controller → Service → Repository → Domain)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API-First Design: todas as interfaces são definidas via OpenAPI/Swagger antes da implementação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Immutable Infrastructure: uso de containers imutáveis gerenciados por Kubernetes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Security by Design: segurança integrada em todas as camadas desde o design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Observability by Default: cada serviço expõe métricas, logs e traces desde o início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Microsserviços — Catálogo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2160"/>
        <w:gridCol w:w="900"/>
      </w:tblGrid>
      <w:tr>
        <w:trPr>
          <w:tblHeader/>
        </w:trP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Autenticação, emissão e validação de JWT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+ Spring Boot 3.x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8081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de perfis, papéis e preferências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+ Spring Boot 3.x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8082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Credential Service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Armazenamento seguro de chaves de API (AES-256)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+ Spring Boot 3.x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8083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 Catalog Service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de modelos de IA e metadados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+ Spring Boot 3.x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8084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Service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e upload para S3, geração de metadata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+ Spring Boot 3.x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8085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Processing Service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Pré-processamento: resize, normalize, encode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+ Spring Boot 3.x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8086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Orchestration Service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Strategy Pattern: seleção de provedor/modelo, prompt engineering, chamadas de IA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+ Spring Boot 3.x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8087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 Results Service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Persistência e consulta de resultados e histórico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+ Spring Boot 3.x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8088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 Service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Geração de PDF/CSV a partir dos resultados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17 + Spring Boot 3.x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8089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(Next.js)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 web responsiva e SSR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Roteamento, rate limiting, autenticação centralizada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Spring Cloud Gateway / Nginx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443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Padrões de Design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Aplicação no PhenoAI Studio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Strategy Pattern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Orchestration Service: seleção dinâmica de provedor/modelo de IA em runtime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Repository Pattern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Isolamento da camada de persistência em todos os microsserviços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Resiliência nas chamadas externas a provedores de IA (Resilience4j)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Saga Pattern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Coordenação de transações distribuídas entre Upload → ImageProcessing → AI Orchestration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CQRS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Analysis Results Service: separação de queries (histórico) de commands (nova análise)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Outbox Pattern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Garantia de entrega de eventos no Kafka sem perda em caso de falha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Gateway Pattern</w:t>
            </w:r>
          </w:p>
        </w:tc>
        <w:tc>
          <w:tcPr>
            <w:tcW w:type="dxa" w:w="64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Ponto único de entrada para todos os microsserviços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Decisões Arquiteturais (ADRs)</w:t>
      </w:r>
    </w:p>
    <w:p>
      <w:pPr>
        <w:pStyle w:val="Heading2"/>
      </w:pPr>
      <w:r>
        <w:t xml:space="preserve">ADR-001: Java + Spring Boot como backend</w:t>
      </w:r>
    </w:p>
    <w:p>
      <w:r>
        <w:rPr>
          <w:rFonts w:ascii="Calibri" w:cs="Calibri" w:eastAsia="Calibri" w:hAnsi="Calibri"/>
          <w:sz w:val="22"/>
          <w:szCs w:val="22"/>
        </w:rPr>
        <w:t xml:space="preserve">Contexto: Necessidade de robustez, ecossistema maduro e suporte empresarial. Decisão: Java 17 LTS com Spring Boot 3.x. Consequências: Alta manutenibilidade, ecosistema Spring Security/Data/Cloud, curva de aprendizado moderada.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ADR-002: PostgreSQL com JSONB para resultados de IA</w:t>
      </w:r>
    </w:p>
    <w:p>
      <w:r>
        <w:rPr>
          <w:rFonts w:ascii="Calibri" w:cs="Calibri" w:eastAsia="Calibri" w:hAnsi="Calibri"/>
          <w:sz w:val="22"/>
          <w:szCs w:val="22"/>
        </w:rPr>
        <w:t xml:space="preserve">Contexto: Os resultados de IA são estruturados mas flexíveis (schema pode evoluir). Decisão: PostgreSQL com campo JSONB para AnalysisResult. Consequências: Flexibilidade sem migração de schema, capacidade de queries sobre o JSON, backup e replicação nativos do Postgres.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ADR-003: Kafka para comunicação assíncrona no pipeline de análise</w:t>
      </w:r>
    </w:p>
    <w:p>
      <w:r>
        <w:rPr>
          <w:rFonts w:ascii="Calibri" w:cs="Calibri" w:eastAsia="Calibri" w:hAnsi="Calibri"/>
          <w:sz w:val="22"/>
          <w:szCs w:val="22"/>
        </w:rPr>
        <w:t xml:space="preserve">Contexto: Processamento de imagens e chamadas de IA são operações pesadas que não devem bloquear a requisição HTTP. Decisão: Apache Kafka para desacoplar Upload → Processing → AI → Results. Consequências: Resiliência, reprocessamento de mensagens, escalabilidade independente por consumidor.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ADR-004: Credential Service como serviço dedicado</w:t>
      </w:r>
    </w:p>
    <w:p>
      <w:r>
        <w:rPr>
          <w:rFonts w:ascii="Calibri" w:cs="Calibri" w:eastAsia="Calibri" w:hAnsi="Calibri"/>
          <w:sz w:val="22"/>
          <w:szCs w:val="22"/>
        </w:rPr>
        <w:t xml:space="preserve">Contexto: Chaves de API de IA são dados altamente sensíveis. Decisão: Microsserviço dedicado com criptografia AES-256 em repouso, acesso restrito apenas ao AI Orchestration Service via mTLS. Consequências: Isolamento de segurança, facilidade de auditoria, rotação de chaves sem impacto nos demais serviços.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Infraestrutura e Deployment</w:t>
      </w:r>
    </w:p>
    <w:p>
      <w:pPr>
        <w:pStyle w:val="Heading2"/>
      </w:pPr>
      <w:r>
        <w:t xml:space="preserve">6.1. Stack de Infraestrutura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Empacotamento de microsserviços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Kubernetes (K8s)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Gerenciamento, escala e self-healing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Istio (opcional Fase 2)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mTLS, observabilidade, circuit breaking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Armazenamento de Objetos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Amazon S3 / MinIO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Imagens originais e processadas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relacionais e JSONB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7+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 de IA, sessões, rate limiting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Mensageria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Apache Kafka 3+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assíncrono de análise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Segredos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HashiCorp Vault / K8s Secrets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Credenciais de infraestrutura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 / GitLab CI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Build, test, deploy automático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Métricas e dashboards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Logging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Loki + Promtail + Grafana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 centralizados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Tracing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Jaeger (via OpenTelemetry)</w:t>
            </w:r>
          </w:p>
        </w:tc>
        <w:tc>
          <w:tcPr>
            <w:tcW w:type="dxa" w:w="43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Rastreamento distribuído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Modelo de Segurança</w:t>
      </w:r>
    </w:p>
    <w:p>
      <w:pPr>
        <w:pStyle w:val="Heading2"/>
      </w:pPr>
      <w:r>
        <w:t xml:space="preserve">7.1. Camadas de Segurança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Camada de Rede: HTTPS/TLS 1.3 em todas as comunicações externas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API Gateway: autenticação JWT, rate limiting por usuário/IP, validação de origem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Microsserviços: autorização RBAC via Spring Security, validação de input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Credential Service: AES-256 em repouso, acesso via mTLS somente pelo AI Orchestration Service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Banco de Dados: criptografia em repouso, conexões TLS, usuários com privilégios mínimos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S3/MinIO: bucket policies, URLs assinadas com TTL, criptografia server-side</w:t>
      </w:r>
    </w:p>
    <w:p>
      <w:r>
        <w:rPr>
          <w:sz w:val="22"/>
          <w:szCs w:val="22"/>
        </w:rPr>
        <w:t xml:space="preserve"/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6BB6A" w:sz="4" w:space="4"/>
      </w:pBdr>
      <w:spacing w:after="200" w:before="4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2026-06-01T22:11:09.252Z</dcterms:created>
  <dcterms:modified xsi:type="dcterms:W3CDTF">2026-06-01T22:11:09.252Z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