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5E20"/>
          <w:sz w:val="52"/>
          <w:szCs w:val="52"/>
        </w:rPr>
        <w:t xml:space="preserve">🌿 PhenoAI Studio</w:t>
      </w:r>
    </w:p>
    <w:p>
      <w:r>
        <w:rPr>
          <w:sz w:val="22"/>
          <w:szCs w:val="22"/>
        </w:rP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2E7D32"/>
          <w:sz w:val="40"/>
          <w:szCs w:val="40"/>
        </w:rPr>
        <w:t xml:space="preserve">Documentação de Frontend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616161"/>
          <w:sz w:val="26"/>
          <w:szCs w:val="26"/>
        </w:rPr>
        <w:t xml:space="preserve">Design System, Componentes e Diretrizes UI/UX</w:t>
      </w:r>
    </w:p>
    <w:p>
      <w:r>
        <w:rPr>
          <w:sz w:val="22"/>
          <w:szCs w:val="22"/>
        </w:rPr>
        <w:t xml:space="preserve"/>
      </w:r>
    </w:p>
    <w:p>
      <w:pPr>
        <w:pBdr>
          <w:top w:val="single" w:color="66BB6A" w:sz="6"/>
          <w:bottom w:val="single" w:color="66BB6A" w:sz="6"/>
        </w:pBdr>
        <w:spacing w:after="100" w:before="100"/>
        <w:jc w:val="center"/>
      </w:pPr>
      <w:r>
        <w:rPr>
          <w:rFonts w:ascii="Calibri" w:cs="Calibri" w:eastAsia="Calibri" w:hAnsi="Calibri"/>
          <w:color w:val="616161"/>
          <w:sz w:val="20"/>
          <w:szCs w:val="20"/>
        </w:rPr>
        <w:t xml:space="preserve">Versão 1.0  |  Junho 2026  |  TechForge Senior Engineering Team</w:t>
      </w:r>
    </w:p>
    <w:p>
      <w:r>
        <w:rPr>
          <w:sz w:val="22"/>
          <w:szCs w:val="22"/>
        </w:rPr>
        <w:t xml:space="preserve"/>
      </w:r>
    </w:p>
    <w:p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t xml:space="preserve">1.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160"/>
        <w:gridCol w:w="5040"/>
      </w:tblGrid>
      <w:tr>
        <w:trPr>
          <w:tblHeader/>
        </w:trP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14.x (App Router)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Framework React com SSR, SSG e Server Components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18.x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Biblioteca de UI com Concurrent Features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5.x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Tipagem estática para maior confiabilidade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3.x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Utility-first CSS com design system customizável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Zustand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4.x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Gerenciamento de estado global leve e performático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TanStack Query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5.x (React Query)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Cache, sync e estado de dados remotos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Hook Form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7.x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Gerenciamento de formulários com validação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Zod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3.x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Validação e inferência de tipos em runtime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i18next + next-i18next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Internacionalização (PT-BR / EN)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Playwright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E2E automatizados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Testing Library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Latest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Testes unitários de componentes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Storybook</w:t>
            </w:r>
          </w:p>
        </w:tc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7.x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Documentação viva de componentes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2. Design System — Tokens</w:t>
      </w:r>
    </w:p>
    <w:p>
      <w:pPr>
        <w:pStyle w:val="Heading2"/>
      </w:pPr>
      <w:r>
        <w:t xml:space="preserve">2.1. Paleta de 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5040"/>
      </w:tblGrid>
      <w:tr>
        <w:trPr>
          <w:tblHeader/>
        </w:trPr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 HEX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--color-primary-900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#1B5E20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Headers, CTAs principais, ícones de destaque</w:t>
            </w:r>
          </w:p>
        </w:tc>
      </w:tr>
      <w:tr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--color-primary-700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#2E7D32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Botões primários, links</w:t>
            </w:r>
          </w:p>
        </w:tc>
      </w:tr>
      <w:tr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--color-primary-300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#81C784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Hover states, bordas de foco</w:t>
            </w:r>
          </w:p>
        </w:tc>
      </w:tr>
      <w:tr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--color-primary-50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#E8F5E9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Backgrounds de cards, zebra de tabelas</w:t>
            </w:r>
          </w:p>
        </w:tc>
      </w:tr>
      <w:tr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#66BB6A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Badges, tags, indicadores de sucesso</w:t>
            </w:r>
          </w:p>
        </w:tc>
      </w:tr>
      <w:tr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--color-warning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#FFA726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Alertas, status amarelo</w:t>
            </w:r>
          </w:p>
        </w:tc>
      </w:tr>
      <w:tr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--color-danger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#EF5350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Erros, status vermelho, exclusão</w:t>
            </w:r>
          </w:p>
        </w:tc>
      </w:tr>
      <w:tr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--color-neutral-900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#212121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principal</w:t>
            </w:r>
          </w:p>
        </w:tc>
      </w:tr>
      <w:tr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--color-neutral-600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#616161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secundário, placeholders</w:t>
            </w:r>
          </w:p>
        </w:tc>
      </w:tr>
      <w:tr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--color-neutral-100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#F5F5F5</w:t>
            </w:r>
          </w:p>
        </w:tc>
        <w:tc>
          <w:tcPr>
            <w:tcW w:type="dxa" w:w="50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Background da aplicação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2.2. Tipografia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080"/>
        <w:gridCol w:w="1440"/>
        <w:gridCol w:w="1440"/>
        <w:gridCol w:w="4000"/>
      </w:tblGrid>
      <w:tr>
        <w:trPr>
          <w:tblHeader/>
        </w:trP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Variante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Tamanho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Peso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2.25rem / 36px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700 Bold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Títulos de página principais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 1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1.875rem / 30px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700 Bold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Seções principais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 2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1.5rem / 24px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Subseções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Heading 3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1.25rem / 20px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600 SemiBold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Cards, labels de grupo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Large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1.125rem / 18px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de destaque, leads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1rem / 16px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Texto padrão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 Small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0.875rem / 14px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Labels, metadata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Caption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0.75rem / 12px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Tooltips, timestamps</w:t>
            </w:r>
          </w:p>
        </w:tc>
      </w:tr>
      <w:tr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Code</w:t>
            </w:r>
          </w:p>
        </w:tc>
        <w:tc>
          <w:tcPr>
            <w:tcW w:type="dxa" w:w="10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JetBrains Mono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0.875rem / 14px</w:t>
            </w:r>
          </w:p>
        </w:tc>
        <w:tc>
          <w:tcPr>
            <w:tcW w:type="dxa" w:w="144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400 Regular</w:t>
            </w:r>
          </w:p>
        </w:tc>
        <w:tc>
          <w:tcPr>
            <w:tcW w:type="dxa" w:w="40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 output, prompts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3. Componentes Principais — Especificação</w:t>
      </w:r>
    </w:p>
    <w:p>
      <w:pPr>
        <w:pStyle w:val="Heading2"/>
      </w:pPr>
      <w:r>
        <w:t xml:space="preserve">3.1. Componentes de Layout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AppShell: layout raiz com Sidebar + Header + Content Area, responsivo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Sidebar: navegação principal colapsável, com indicador de rota ativa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Header: breadcrumb, seletor de idioma, avatar do usuário com menu dropdown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PageContainer: padding, max-width e heading padronizados por página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3.2. ImageUploader</w:t>
      </w:r>
    </w:p>
    <w:p>
      <w:r>
        <w:rPr>
          <w:rFonts w:ascii="Calibri" w:cs="Calibri" w:eastAsia="Calibri" w:hAnsi="Calibri"/>
          <w:sz w:val="22"/>
          <w:szCs w:val="22"/>
        </w:rPr>
        <w:t xml:space="preserve">Componente de upload de imagens com drag-and-drop, validação de tipo/tamanho, barra de progresso, pré-visualização imediata. Props: onUpload(file), maxSizeMB, acceptedFormats, multiple (false no MVP).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Estado idle: área de drop com ícone e instrução textual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Estado dragging: borda animada verde com feedback visual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Estado uploading: progress bar com porcentagem e cancel button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Estado success: thumbnail + checkmark + nome do arquivo + botão de remoção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Estado error: mensagem de erro inline com retry action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3.3. AnalysisConfigurator</w:t>
      </w:r>
    </w:p>
    <w:p>
      <w:r>
        <w:rPr>
          <w:rFonts w:ascii="Calibri" w:cs="Calibri" w:eastAsia="Calibri" w:hAnsi="Calibri"/>
          <w:sz w:val="22"/>
          <w:szCs w:val="22"/>
        </w:rPr>
        <w:t xml:space="preserve">Componente de configuração da análise. Renderiza dinamicamente baseado no analysisType selecionado. Integra com Model Catalog API para exibir provedores/modelos disponíveis.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Tab 1 — Análise Padrão: apenas seleção de modelo e credencial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Tab 2 — Análise Customizada: checkboxes de funcionalidades + seleção de modelo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Tab 3 — Prompt Livre: textarea com markdown hints + seleção de modelo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Seção Configuração de IA: ProviderSelector → ModelSelector → CredentialSelector (cascata)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3.4. CredentialManager</w:t>
      </w:r>
    </w:p>
    <w:p>
      <w:r>
        <w:rPr>
          <w:rFonts w:ascii="Calibri" w:cs="Calibri" w:eastAsia="Calibri" w:hAnsi="Calibri"/>
          <w:sz w:val="22"/>
          <w:szCs w:val="22"/>
        </w:rPr>
        <w:t xml:space="preserve">Página dedicada para CRUD de credenciais de IA. Implementa mascaramento de chave (nunca exibe completa). Formulário com validação Zod + React Hook Form.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Lista de credenciais: badge de status (ACTIVE/INVALID), última validação, botões de editar/remover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Modal de adição: provider select, nome amigável, campo de API key (password type), botão "Validar e Salvar"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Indicador visual de status: verde (ACTIVE), vermelho (INVALID), amarelo (EXPIRADO)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3.5. AnalysisResultViewer</w:t>
      </w:r>
    </w:p>
    <w:p>
      <w:r>
        <w:rPr>
          <w:rFonts w:ascii="Calibri" w:cs="Calibri" w:eastAsia="Calibri" w:hAnsi="Calibri"/>
          <w:sz w:val="22"/>
          <w:szCs w:val="22"/>
        </w:rPr>
        <w:t xml:space="preserve">Componente de exibição de resultados estruturados. Renderiza o JSON do resultado em painéis temáticos. Suporta estados: loading skeleton, completed, error.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Painel Morfometria: altura, largura, área foliar com barras de progresso visuais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Painel Colorimetria: círculo de cor dominante, índice de clorofila, paleta de cores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Painel Saúde: indicadores de estresse, score de saúde geral, badges de diagnóstico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Painel Metadados: modelo usado, provedor, tokens, custo estimado, duração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Ações: Download PDF, Download CSV, Re-executar análise</w:t>
      </w:r>
    </w:p>
    <w:p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3.6. AnalysisHistory</w:t>
      </w:r>
    </w:p>
    <w:p>
      <w:r>
        <w:rPr>
          <w:rFonts w:ascii="Calibri" w:cs="Calibri" w:eastAsia="Calibri" w:hAnsi="Calibri"/>
          <w:sz w:val="22"/>
          <w:szCs w:val="22"/>
        </w:rPr>
        <w:t xml:space="preserve">Tabela paginada do histórico de análises. Integra com TanStack Query para cache e refetch automático.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Colunas: thumbnail miniatura, tipo de análise, modelo IA, status, data, ações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Filtros: date range picker, tipo de análise, status, provedor de IA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Row actions: ver resultado, re-executar, exportar, remover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4. Páginas da Aplicação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1800"/>
        <w:gridCol w:w="2520"/>
      </w:tblGrid>
      <w:tr>
        <w:trPr>
          <w:tblHeader/>
        </w:trP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Rota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Renderização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Cadastro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/auth/forgot-password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Recuperar Senha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Pública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Dashboard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 + Client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/analyses/new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Nova Análise (Upload + Config)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/analyses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Histórico de Análises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 + Client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/analyses/[id]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Resultado da Análise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 + Client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/settings/credentials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Gerenciar Credenciais de IA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/settings/profile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Perfil do Usuário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Autenticado</w:t>
            </w:r>
          </w:p>
        </w:tc>
      </w:tr>
      <w:tr>
        <w:tc>
          <w:tcPr>
            <w:tcW w:type="dxa" w:w="216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/admin/models</w:t>
            </w:r>
          </w:p>
        </w:tc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Catálogo de Modelos (Admin)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</w:t>
            </w:r>
          </w:p>
        </w:tc>
        <w:tc>
          <w:tcPr>
            <w:tcW w:type="dxa" w:w="252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5. Internacionalização (i18n)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Idiomas suportados: Português Brasileiro (pt-BR, padrão) e Inglês (en)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Arquivos de tradução em /public/locales/{lang}/*.json por domínio (auth, analysis, common, etc.)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Seletor de idioma no Header com persistência via cookie/localStorage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URLs com locale prefix opcional: /pt-BR/analyses ou /en/analyses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Datas, moedas e números formatados via Intl API conforme o locale ativo</w:t>
      </w:r>
    </w:p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6. Performance e Core Web Vitals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800"/>
        <w:gridCol w:w="4680"/>
      </w:tblGrid>
      <w:tr>
        <w:trPr>
          <w:tblHeader/>
        </w:trP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Meta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Estratégia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2,5s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optimization, preload de hero, Server Components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INP (Interaction to Next Paint)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200ms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useTransition, defer non-critical updates, Zustand slice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0,1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1F8E9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Skeleton placeholders, reserva de espaço para imagens</w:t>
            </w:r>
          </w:p>
        </w:tc>
      </w:tr>
      <w:tr>
        <w:tc>
          <w:tcPr>
            <w:tcW w:type="dxa" w:w="28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TTFB (Time to First Byte)</w:t>
            </w:r>
          </w:p>
        </w:tc>
        <w:tc>
          <w:tcPr>
            <w:tcW w:type="dxa" w:w="180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&lt; 800ms</w:t>
            </w:r>
          </w:p>
        </w:tc>
        <w:tc>
          <w:tcPr>
            <w:tcW w:type="dxa" w:w="4680"/>
            <w:tcBorders>
              <w:top w:val="single" w:color="A5D6A7" w:sz="1"/>
              <w:left w:val="single" w:color="A5D6A7" w:sz="1"/>
              <w:bottom w:val="single" w:color="A5D6A7" w:sz="1"/>
              <w:right w:val="single" w:color="A5D6A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SSR com cache de dados, CDN para assets estáticos</w:t>
            </w:r>
          </w:p>
        </w:tc>
      </w:tr>
    </w:tbl>
    <w:p>
      <w:r>
        <w:rPr>
          <w:sz w:val="22"/>
          <w:szCs w:val="22"/>
        </w:rPr>
        <w:t xml:space="preserve"/>
      </w:r>
    </w:p>
    <w:p>
      <w:pPr>
        <w:pStyle w:val="Heading1"/>
      </w:pPr>
      <w:r>
        <w:t xml:space="preserve">7. Diretrizes de Acessibilidade (WCAG 2.1 AA)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Contraste de cores: mínimo 4,5:1 para texto normal, 3:1 para texto grande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Navegação por teclado: todos os elementos interativos acessíveis via Tab/Enter/Space/Esc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Screen readers: aria-label, aria-describedby, role apropriados em todos os componentes custom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Feedback de formulários: erros de validação vinculados ao campo via aria-describedby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Imagens: alt text descritivo em todas as imagens funcionais; alt="" para decorativas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sz w:val="22"/>
          <w:szCs w:val="22"/>
        </w:rPr>
        <w:t xml:space="preserve">Modais e drawers: foco gerenciado (focus trap), Escape fecha, foco retorna ao trigger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Courier New" w:cs="Courier New" w:eastAsia="Courier New" w:hAnsi="Courier New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6BB6A" w:sz="4" w:space="4"/>
      </w:pBdr>
      <w:spacing w:after="200" w:before="400"/>
      <w:outlineLvl w:val="0"/>
    </w:pPr>
    <w:rPr>
      <w:rFonts w:ascii="Calibri" w:cs="Calibri" w:eastAsia="Calibri" w:hAnsi="Calibri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Calibri" w:cs="Calibri" w:eastAsia="Calibri" w:hAnsi="Calibri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2026-06-01T22:11:09.513Z</dcterms:created>
  <dcterms:modified xsi:type="dcterms:W3CDTF">2026-06-01T22:11:09.513Z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