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🌿 PhenoAI Studio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Modelo de Dados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16161"/>
          <w:sz w:val="26"/>
          <w:szCs w:val="26"/>
        </w:rPr>
        <w:t xml:space="preserve">Diagrama ER, Dicionário de Dados e Governança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66BB6A" w:sz="6"/>
          <w:bottom w:val="single" w:color="66BB6A" w:sz="6"/>
        </w:pBdr>
        <w:spacing w:after="100" w:before="1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Versão 1.0  |  Junho 2026  |  TechForge Senior Engineering Team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Visão Geral do Modelo de Dados</w:t>
      </w:r>
    </w:p>
    <w:p>
      <w:r>
        <w:rPr>
          <w:rFonts w:ascii="Calibri" w:cs="Calibri" w:eastAsia="Calibri" w:hAnsi="Calibri"/>
          <w:sz w:val="22"/>
          <w:szCs w:val="22"/>
        </w:rPr>
        <w:t xml:space="preserve">O PhenoAI Studio utiliza PostgreSQL 15+ como banco de dados principal, com suporte a JSONB para os resultados estruturados das análises de IA. O modelo é projetado seguindo os princípios de normalização (3FN), com uso de JSONB apenas onde a flexibilidade de schema supera o benefício da normalização (campo resultado_json).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Entidades e Relacionamentos</w:t>
      </w:r>
    </w:p>
    <w:p>
      <w:pPr>
        <w:pStyle w:val="Heading2"/>
      </w:pPr>
      <w:r>
        <w:t xml:space="preserve">2.1. Tabela: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980"/>
        <w:gridCol w:w="2880"/>
        <w:gridCol w:w="2880"/>
      </w:tblGrid>
      <w:tr>
        <w:trPr>
          <w:tblHeader/>
        </w:trP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do usuário</w:t>
            </w:r>
          </w:p>
        </w:tc>
      </w:tr>
      <w:t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completo do usuário</w:t>
            </w:r>
          </w:p>
        </w:tc>
      </w:tr>
      <w:t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VARCHAR(320)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para login e notificações</w:t>
            </w:r>
          </w:p>
        </w:tc>
      </w:tr>
      <w:t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 bcrypt da senha (custo 12)</w:t>
            </w:r>
          </w:p>
        </w:tc>
      </w:tr>
      <w:t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ENUM(ADMIN, RESEARCHER, GUEST)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RESEARCHER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Papel do usuário no sistema</w:t>
            </w:r>
          </w:p>
        </w:tc>
      </w:tr>
      <w:t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pt-BR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Idioma preferencial (BCP-47)</w:t>
            </w:r>
          </w:p>
        </w:tc>
      </w:tr>
      <w:t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 ativa ou desativada</w:t>
            </w:r>
          </w:p>
        </w:tc>
      </w:tr>
      <w:t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e hora de cadastro</w:t>
            </w:r>
          </w:p>
        </w:tc>
      </w:tr>
      <w:t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e hora da última atualização</w:t>
            </w:r>
          </w:p>
        </w:tc>
      </w:tr>
      <w:tr>
        <w:tc>
          <w:tcPr>
            <w:tcW w:type="dxa" w:w="16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do último login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2.2. Tabela: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800"/>
        <w:gridCol w:w="2700"/>
        <w:gridCol w:w="2880"/>
      </w:tblGrid>
      <w:tr>
        <w:trPr>
          <w:tblHeader/>
        </w:trP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da credencial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proprietário da credencial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provider_name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ENUM(OPENAI, ANTHROPIC, OLLAMA, VLLM)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Provedor de IA da credencial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credential_name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amigável definido pelo usuário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encrypted_api_key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de API criptografada (AES-256-GCM)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encryption_iv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Vetor de inicialização para AES-GCM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ENUM(ACTIVE, INVALID, EXPIRED)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ACTIVE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atual da credencial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last_validated_at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Última validação bem-sucedida junto ao provedor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cadastro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2.3. Tabela: ai_models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800"/>
        <w:gridCol w:w="2700"/>
        <w:gridCol w:w="2880"/>
      </w:tblGrid>
      <w:tr>
        <w:trPr>
          <w:tblHeader/>
        </w:trP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do modelo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provider_name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ENUM(OPENAI, ANTHROPIC, OLLAMA, VLLM)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Provedor do modelo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do modelo (ex: gpt-4o)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model_type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ENUM(MULTIMODAL, TEXTUAL, LOCAL)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capacidade do modelo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input_cost_per_1k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DECIMAL(10,6)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por 1.000 tokens de entrada (USD)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output_cost_per_1k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DECIMAL(10,6)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por 1.000 tokens de saída (USD)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is_publicly_available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Disponível para todos (sem credencial própria)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true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habilitado no catálogo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Última atualização dos metadados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2.4. Tabela: plant_samples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800"/>
        <w:gridCol w:w="2700"/>
        <w:gridCol w:w="2880"/>
      </w:tblGrid>
      <w:tr>
        <w:trPr>
          <w:tblHeader/>
        </w:trP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da amostra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Pesquisador responsável pela amostra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sample_name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identificador da amostra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plant_type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Tipo/espécie de planta (ex: Glycine max)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location_lat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Latitude geográfica da coleta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location_lng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DECIMAL(9,6)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Longitude geográfica da coleta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additional_metadata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Metadados livres (condições, lote, etc.)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registro da amostra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2.5. Tabela: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800"/>
        <w:gridCol w:w="2700"/>
        <w:gridCol w:w="2880"/>
      </w:tblGrid>
      <w:tr>
        <w:trPr>
          <w:tblHeader/>
        </w:trP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da imagem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plant_sample_id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plant_samples.id, 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Amostra à qual a imagem pertence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original_s3_url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S3 da imagem original (assinada internamente)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processed_s3_url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S3 da imagem pré-processada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original_filename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original do arquivo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MIME (image/jpeg, image/png, etc.)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file_size_bytes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BIGINT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Tamanho do arquivo em bytes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width_px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Largura da imagem em pixels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height_px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Altura da imagem em pixels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content_hash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SHA-256 do conteúdo para deduplicação e cache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e hora da captura (EXIF se disponível)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upload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2.6. Tabela: analyses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800"/>
        <w:gridCol w:w="2700"/>
        <w:gridCol w:w="2880"/>
      </w:tblGrid>
      <w:tr>
        <w:trPr>
          <w:tblHeader/>
        </w:trP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da análise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images.id, 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Imagem analisada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que solicitou a análise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ai_model_id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ai_models.id, 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de IA utilizado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credentials.id, 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Credencial privada usada (NULL = credencial do sistema)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analysis_type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ENUM(STANDARD, CUSTOM, FREE_PROMPT)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análise realizada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selected_features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TEXT[]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de features selecionadas (análise customizada)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prompt_used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completo enviado à IA (para auditoria)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prompt_version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do system prompt (ex: v1.0)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ENUM(PENDING, PROCESSING, COMPLETED, FAILED)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PENDING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do processamento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total_tokens_used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tokens consumidos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estimated_cost_usd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DECIMAL(10,6)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estimado em USD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duration_ms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Duração total do processamento em milissegundos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Mensagem de erro se status = FAILED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solicitação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NULLABLE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conclusão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2.7. Tabela: analysis_results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800"/>
        <w:gridCol w:w="2700"/>
        <w:gridCol w:w="2880"/>
      </w:tblGrid>
      <w:tr>
        <w:trPr>
          <w:tblHeader/>
        </w:trP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do resultado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FK → analyses.id, NOT NULL, UNIQUE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associada (1:1)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result_json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 estruturado da IA conforme schema versionado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schema_version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Versão do schema JSON (ex: 1.0)</w:t>
            </w:r>
          </w:p>
        </w:tc>
      </w:tr>
      <w:tr>
        <w:tc>
          <w:tcPr>
            <w:tcW w:type="dxa" w:w="19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persistência do resultado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Índices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Coluna(s)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B-TREE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por email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B-TREE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Listagem de credenciais por usuário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analyses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user_id, created_at DESC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B-TREE COMPOSTO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paginado por usuário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analyses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B-TREE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 de análises em processamento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content_hash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B-TREE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Deduplicação e geração de cache key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analysis_results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result_json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GIN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Queries sobre campos JSONB do resultado</w:t>
            </w:r>
          </w:p>
        </w:tc>
      </w:tr>
      <w:tr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plant_samples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B-TREE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Listagem de amostras por pesquisador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Estratégia de Migrations e Governança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Ferramenta de migrations: Flyway (integrado ao Spring Boot)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Nomenclatura: V{timestamp}__{descricao}.sql (ex: V20260601120000__create_credentials_table.sql)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Zero-downtime migrations: adicionar colunas nullable, nunca remover/renomear sem backward compatibility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Schema versionado na tabela analysis_results.schema_version para compatibilidade de leitura futura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Backup automatizado diário com retention de 30 dias; ponto de restauração em produção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Dados sensíveis (encrypted_api_key, password_hash) nunca logados ou expostos em queries de debug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BB6A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2026-06-01T22:11:09.767Z</dcterms:created>
  <dcterms:modified xsi:type="dcterms:W3CDTF">2026-06-01T22:11:09.767Z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