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Guia de Implantação e Operações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Deployment &amp; Operations Guide — Docker, K8s, CI/CD, Monitoring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Pré-requisitos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24.x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e execução de containers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2.20+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Orquestração local (desenvolvimento)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(kubectl)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1.28+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Orquestração em produção/staging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3.12+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Gerenciamento de charts K8s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JDK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LTS (Temurin)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dos microsserviços backend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LTS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do frontend Next.js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Client (psql)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15+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ao banco de dados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CLI / MinIO Client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Gerenciamento do armazenamento de objetos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 Secrets / SOPS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Gerenciamento de secrets no pipeline CI/CD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2160"/>
        <w:gridCol w:w="2520"/>
      </w:tblGrid>
      <w:tr>
        <w:trPr>
          <w:tblHeader/>
        </w:trP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 Git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Deploy Automático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Desenvolvimento local com Docker Compose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feature/* ou develop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(manual)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Homologação, testes E2E, validação de release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(push → deploy)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Produção com tráfego real de usuários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(via tag)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(tag → deploy)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Configuração do Ambiente de Desenvolvimento</w:t>
      </w:r>
    </w:p>
    <w:p>
      <w:pPr>
        <w:pStyle w:val="Heading2"/>
      </w:pPr>
      <w:r>
        <w:t xml:space="preserve">3.1. Subindo o Stack com Docker Compose</w:t>
      </w:r>
    </w:p>
    <w:p>
      <w:pPr>
        <w:pBdr>
          <w:left w:val="single" w:color="2E7D32" w:sz="8" w:space="8"/>
        </w:pBdr>
        <w:shd w:fill="F1F8E9" w:val="clear"/>
        <w:spacing w:after="160" w:before="160"/>
        <w:ind w:left="36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# Clonar repositório
git clone https://github.com/org/phenoai-studio.git
cd phenoai-studio
# Copiar variáveis de ambiente de exemplo
cp .env.example .env
# Editar .env com chaves de API locais e configurações
# Subir todos os serviços
docker-compose up -d
# Verificar status dos containers
docker-compose ps
# Aplicar migrations do banco
docker-compose exec auth-service ./gradlew flywayMigrate
# Acesso: Frontend: http://localhost:3000
# API Gateway: http://localhost:8080
# Grafana: http://localhost:3001 (admin/admin)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3.2. Variáveis de Ambiente Críticas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rPr>
          <w:tblHeader/>
        </w:trP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JDBC do PostgreSQL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REDIS_URL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do Redis (redis://host:6379)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KAFKA_BOOTSTRAP_SERVERS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Endereços dos brokers Kafka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secreta para assinatura de JWT (min 256 bits)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CREDENTIAL_ENCRYPTION_KEY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AES-256 para criptografia das API keys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S3_BUCKET_NAME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do bucket S3/MinIO para imagens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S3_ENDPOINT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 S3 (vazio para AWS, URL para MinIO)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para MinIO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de acesso AWS/MinIO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secreta AWS/MinIO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OPENAI_SYSTEM_API_KEY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OpenAI do sistema (fallback quando usuário não tem)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ANTHROPIC_SYSTEM_API_KEY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Anthropic do sistema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Recomendado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Pipeline CI/CD — GitHub Actions</w:t>
      </w:r>
    </w:p>
    <w:p>
      <w:pPr>
        <w:pStyle w:val="Heading2"/>
      </w:pPr>
      <w:r>
        <w:t xml:space="preserve">4.1. Workflow: Build e Teste (on: push → develop, feature/*)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Checkout do repositório e configuração do Java 17 (Temurin)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Build e execução de testes unitários: ./gradlew test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Execução de testes de integração com Testcontainers: ./gradlew integrationTest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Análise SAST com SonarQube: verifica quality gates (coverage ≥ 80%, zero critical bugs)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Build da imagem Docker de cada microsserviço: docker build -t registry/service:${GITHUB_SHA}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Push das imagens para o registry: ghcr.io/org/phenoai-{service}:{sha}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Notificação de sucesso/falha via Slack/email para a equipe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4.2. Workflow: Deploy Staging (on: push → develop)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Trigger após sucesso do workflow de Build e Teste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Substituição de variáveis nos manifests Kubernetes com a nova tag de imagem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kubectl apply -f k8s/staging/ com rollout progressivo (RollingUpdate, maxSurge: 1)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Execução de health checks: kubectl rollout status deployment/{service} -n staging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Execução de smoke tests automatizados contra o ambiente staging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Execução de testes E2E com Playwright contra staging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Deploy bloqueado automaticamente se smoke tests ou E2E falharem (rollback automático)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4.3. Workflow: Deploy Produção (on: tag v*.*.*)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Revisão manual obrigatória de pelo menos 2 engenheiros seniores antes do merge em main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Criação de tag semântica: git tag v1.2.0 &amp;&amp; git push origin v1.2.0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Pipeline executa todos os testes novamente com as imagens da tag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Deploy com estratégia Blue/Green ou Canary (via Argo Rollouts) para zero downtime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Monitoramento pós-deploy: alertas ativos por 30 minutos; rollback automático se error rate &gt; 1%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Kubernetes — Configuração de Produção</w:t>
      </w:r>
    </w:p>
    <w:p>
      <w:pPr>
        <w:pStyle w:val="Heading2"/>
      </w:pPr>
      <w:r>
        <w:t xml:space="preserve">5.1. Namespaces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phenoai-production: workloads de produção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phenoai-staging: workloads de staging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phenoai-infra: PostgreSQL, Redis, Kafka, Vault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monitoring: Prometheus, Grafana, Loki, Jaeger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5.2. Recursos por Microsserviço (HPA — Produção)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1080"/>
        <w:gridCol w:w="1620"/>
        <w:gridCol w:w="18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Replicas Min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Replicas Max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CPU Request/Limit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Memory Request/Limit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HPA Trigger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250m / 500m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256Mi / 512Mi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&gt; 70%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 Service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250m / 500m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256Mi / 512Mi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&gt; 70%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500m / 1000m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512Mi / 1Gi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&gt; 60%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500m / 1000m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512Mi / 1Gi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&gt; 65%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Service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250m / 500m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256Mi / 512Mi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&gt; 70%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 Results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250m / 500m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256Mi / 512Mi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&gt; 70%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500m / 1000m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512Mi / 1Gi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&gt; 70%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250m / 500m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256Mi / 512Mi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&gt; 70%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Monitoramento e Observabilidade</w:t>
      </w:r>
    </w:p>
    <w:p>
      <w:pPr>
        <w:pStyle w:val="Heading2"/>
      </w:pPr>
      <w:r>
        <w:t xml:space="preserve">6.1. Dashboards Grafana — Prioritários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Overview do Sistema: latência geral, taxa de erros, throughput, disponibilidade por serviço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AI Orchestration: requests por provedor, custo por análise, latência por modelo, cache hit rate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Credential Service: tentativas de acesso, validações, falhas de autenticação (alertas de segurança)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Pipeline de Análise: mensagens Kafka pendentes, tempo de processamento end-to-end, análises falhadas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Infraestrutura: uso de CPU/memória dos pods, conexões de banco, uso do Redis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6.2. Alertas Críticos (PagerDuty / Alertmanager)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1080"/>
        <w:gridCol w:w="3600"/>
      </w:tblGrid>
      <w:tr>
        <w:trPr>
          <w:tblHeader/>
        </w:trP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Error Rate High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error_rate &gt; 5% por 5min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 on-call imediatamente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Cost Anomaly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custo/hora &gt; 3x média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 equipe IA + suspender análises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 Service Down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uptime &lt; 100% por 1min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PagerDuty + rollback automático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Connection Pool Exhausted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90% connections usadas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 DBA + scale Pgpool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Lag &gt; 1000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consumer lag por 10min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 DevOps + scale workers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Disk Usage &gt; 80%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ou PV &gt; 80%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 infra para expansão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Backup e Recuperação de Desastres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PostgreSQL: backup completo diário (pg_dump) para S3; WAL streaming para réplica de leitura; RTO &lt; 4h; RPO &lt; 1h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Redis: RDB snapshot a cada 1h + AOF; dado de cache é perdável; somente sessões são críticas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S3/MinIO: versioning habilitado; cross-region replication para disaster recovery; lifecycle policy 90 dias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Kubernetes: backup dos manifests no repositório Git (GitOps via ArgoCD)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Drill de recuperação: simulação trimestral de recuperação completa do banco em ambiente de DR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2026-06-01T22:11:09.880Z</dcterms:created>
  <dcterms:modified xsi:type="dcterms:W3CDTF">2026-06-01T22:11:09.880Z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