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🌿 PhenoAI Studio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Estratégia de Testes e Qualidade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16161"/>
          <w:sz w:val="26"/>
          <w:szCs w:val="26"/>
        </w:rPr>
        <w:t xml:space="preserve">Test Strategy, QA Plan e Quality Gates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66BB6A" w:sz="6"/>
          <w:bottom w:val="single" w:color="66BB6A" w:sz="6"/>
        </w:pBdr>
        <w:spacing w:after="100" w:before="100"/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Versão 1.0  |  Junho 2026  |  TechForge Senior Engineering Team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Filosofia de Qualidade</w:t>
      </w:r>
    </w:p>
    <w:p>
      <w:r>
        <w:rPr>
          <w:rFonts w:ascii="Calibri" w:cs="Calibri" w:eastAsia="Calibri" w:hAnsi="Calibri"/>
          <w:sz w:val="22"/>
          <w:szCs w:val="22"/>
        </w:rPr>
        <w:t xml:space="preserve">O PhenoAI Studio adota a abordagem Shift-Left Testing: testes são parte integral do desenvolvimento, não uma etapa final. A pirâmide de testes guia a estratégia: base larga de testes unitários, camada intermediária de testes de integração e topo com testes E2E focados em fluxos críticos.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Pirâmide de Testes — Distribuição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080"/>
        <w:gridCol w:w="3240"/>
        <w:gridCol w:w="2160"/>
      </w:tblGrid>
      <w:tr>
        <w:trPr>
          <w:tblHeader/>
        </w:trP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do Total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Executado em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Unitário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(~70%)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70%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 5, Mockito, React Testing Library, Jest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commit/PR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 (~20%)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Testcontainers, Spring Boot Test, MockMvc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commit/PR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Componente/Serviço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 (~7%)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7%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 Assured, Pact (Consumer-Driven Contracts)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→ develop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Mínima (~3%)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3%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Playwright, Cypress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Pre-deploy staging/prod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Performance/Carga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Pontual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Suporte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JMeter, Gatling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de release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Segurança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Pontual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Suporte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SonarQube (SAST), OWASP ZAP (DAST), Trivy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 + trimestral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Testes Unitários — Backend (Java/Spring)</w:t>
      </w:r>
    </w:p>
    <w:p>
      <w:pPr>
        <w:pStyle w:val="Heading2"/>
      </w:pPr>
      <w:r>
        <w:t xml:space="preserve">3.1. Padrão de Nomenclatura e Estrutura</w:t>
      </w:r>
    </w:p>
    <w:p>
      <w:pPr>
        <w:pBdr>
          <w:left w:val="single" w:color="2E7D32" w:sz="8" w:space="8"/>
        </w:pBdr>
        <w:shd w:fill="F1F8E9" w:val="clear"/>
        <w:spacing w:after="160" w:before="160"/>
        <w:ind w:left="36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@Test
@DisplayName("should encrypt API key before saving to database")
void shouldEncryptApiKeyBeforeSaving() {
  // GIVEN
  var request = new CreateCredentialRequest("OPENAI", "My Key", "sk-real-key-123");
  // WHEN
  var saved = credentialService.create(userId, request);
  // THEN
  assertThat(saved.getEncryptedApiKey()).isNotEqualTo("sk-real-key-123");
  assertThat(saved.getStatus()).isEqualTo(CredentialStatus.ACTIVE);
  verify(encryptionService).encrypt("sk-real-key-123");
}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3.2. Casos de Teste Críticos — AI Orchestration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240"/>
        <w:gridCol w:w="5040"/>
      </w:tblGrid>
      <w:tr>
        <w:trPr>
          <w:tblHeader/>
        </w:trP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TC-AI-001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Seleção de provedor OpenAI com credencial privada válida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OpenAIStrategy instanciada com a chave correta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TC-AI-002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Seleção de provedor Anthropic com credencial inválida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CredentialInvalidException lançada, análise não iniciada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TC-AI-003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Provedor null → usa credencial de sistema configurada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SystemCredentialFallback ativado com chave do sistema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TC-AI-004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Resposta da IA com JSON inválido (não conforme schema)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StructuredOutputValidationException + análise FAILED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TC-AI-005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hit para análise idêntica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Retorno do cache sem chamar a API de IA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TC-AI-006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Timeout na API de IA externa (&gt; 60s)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CircuitBreaker abre, FAILED com mensagem amigável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TC-AI-007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Construção do prompt customizado com 3 features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contém exatamente as 3 features selecionadas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TC-AI-008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Padrão com prompt versão v1.0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system_prompt_version = "1.0" registrado na análise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3.3. Casos de Teste Críticos — Credential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240"/>
        <w:gridCol w:w="5040"/>
      </w:tblGrid>
      <w:tr>
        <w:trPr>
          <w:tblHeader/>
        </w:trP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TC-CRED-001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Salvar credencial — chave não pode ser lida em texto puro no banco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encrypted_api_key != original_key no PostgreSQL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TC-CRED-002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Descriptografar credencial para uso interno — chave correta retornada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decrypted_key == original_key no serviço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TC-CRED-003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não autorizado ao Credential Service (sem JWT válido)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401 Unauthorized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TC-CRED-004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Usuário tentando acessar credencial de outro usuário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403 Forbidden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TC-CRED-005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de credencial junto ao provedor — chave válida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atualizado para ACTIVE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TC-CRED-006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de credencial junto ao provedor — chave inválida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atualizado para INVALID, notificação ao usuário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Testes de Integração — Testcontainers</w:t>
      </w:r>
    </w:p>
    <w:p>
      <w:pPr>
        <w:pStyle w:val="Heading2"/>
      </w:pPr>
      <w:r>
        <w:t xml:space="preserve">4.1. Infraestrutura de Teste com Testcontainers</w:t>
      </w:r>
    </w:p>
    <w:p>
      <w:pPr>
        <w:pBdr>
          <w:left w:val="single" w:color="2E7D32" w:sz="8" w:space="8"/>
        </w:pBdr>
        <w:shd w:fill="F1F8E9" w:val="clear"/>
        <w:spacing w:after="160" w:before="160"/>
        <w:ind w:left="36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@Testcontainers
@SpringBootTest
class AnalysisIntegrationTest {
  @Container static PostgreSQLContainer&lt;?&gt; postgres =
    new PostgreSQLContainer&lt;&gt;("postgres:15");
  @Container static GenericContainer&lt;?&gt; redis =
    new GenericContainer&lt;&gt;("redis:7").withExposedPorts(6379);
  @Container static KafkaContainer kafka =
    new KafkaContainer(DockerImageName.parse("confluentinc/cp-kafka:7.4.0"));
  // Testa o fluxo completo: Upload → ImageProcessing → AIOrchestration → Results
}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Testes E2E — Playwright</w:t>
      </w:r>
    </w:p>
    <w:p>
      <w:pPr>
        <w:pStyle w:val="Heading2"/>
      </w:pPr>
      <w:r>
        <w:t xml:space="preserve">5.1. Fluxos Críticos Cobertos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5400"/>
        <w:gridCol w:w="1080"/>
      </w:tblGrid>
      <w:tr>
        <w:trPr>
          <w:tblHeader/>
        </w:trP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Fluxo E2E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E2E-001: Happy Path Completo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→ Upload imagem → Análise Padrão → Visualizar resultado → Export PDF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E2E-002: Gestão de Credenciais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→ Settings → Add credential → Validate → Use in analysis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E2E-003: Análise Customizada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→ Upload → Select 3 features → Select model → Run → View result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E2E-004: Prompt Livre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→ Upload → Enter free prompt → Run → View result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E2E-005: Histórico e Filtros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→ History → Filter by date → Filter by status → Re-run analysis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E2E-006: Export CSV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→ History → Select analysis → Export CSV → Verify download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E2E-007: Credencial Inválida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→ Add invalid credential → Verify INVALID status → Analysis blocked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E2E-008: Acessibilidade</w:t>
            </w:r>
          </w:p>
        </w:tc>
        <w:tc>
          <w:tcPr>
            <w:tcW w:type="dxa" w:w="5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Navegação completa por teclado em todos os fluxos críticos (axe-core)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Quality Gates —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1440"/>
        <w:gridCol w:w="3240"/>
      </w:tblGrid>
      <w:tr>
        <w:trPr>
          <w:tblHeader/>
        </w:trP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se Falhar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Coverage Backend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Cobertura de testes unitários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80%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merge do PR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Coverage Frontend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Cobertura de testes componentes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70%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merge do PR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SAST Bugs Críticos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Bugs críticos no SonarQube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= 0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merge do PR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SAST Vulnerabilidades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Vulnerabilidades de segurança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= 0 críticas/altas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merge do PR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Duplicidade de Código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duplicado no SonarQube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5%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(não bloqueia)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E2E Pass Rate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E2E passando em staging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= 100%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deploy para produção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LCP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2,5s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com relatório no PR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Vulnerabilities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CVEs críticos via Trivy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= 0 críticas</w:t>
            </w:r>
          </w:p>
        </w:tc>
        <w:tc>
          <w:tcPr>
            <w:tcW w:type="dxa" w:w="32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Bloqueia build da imagem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Testes de Performance — JMeter/Gatling</w:t>
      </w:r>
    </w:p>
    <w:p>
      <w:pPr>
        <w:pStyle w:val="Heading2"/>
      </w:pPr>
      <w:r>
        <w:t xml:space="preserve">7.1. Cenário de Carga — Análise Fenotípica (MVP)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Usuários simultâneos: 50 (crescimento gradual de 0 a 50 em 5 minutos)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Duração: 30 minutos de carga sustentada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Cenário: 70% análise padrão, 20% customizada, 10% prompt livre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SLA: p95 latência API &lt; 500ms (excluindo chamada de IA externa), zero erros HTTP 5xx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Throughput mínimo: 10 análises por minuto concluídas end-to-end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8. Testes de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800"/>
        <w:gridCol w:w="3960"/>
      </w:tblGrid>
      <w:tr>
        <w:trPr>
          <w:tblHeader/>
        </w:trP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SAST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SonarQube + SpotBugs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PR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Injection, OWASP Top 10, criptografia insegura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DAST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OWASP ZAP (automatizado)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Pré-deploy staging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XSS, CSRF, headers de segurança, JWT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Dependency Scan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Dependabot + OWASP Dependency-Check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Diário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CVEs em dependências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 Scan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Trivy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build de imagem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CVEs em imagens base e pacotes OS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 Detection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git-secrets + truffleHog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Pre-commit hook + CI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Chaves de API no código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Penetration Testing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Equipe especializada externa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Pré-launch + semestral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 Service, JWT, S3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9. Processo de QA no Ciclo de Desenvolvimento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Refinamento de histórias: QA participa da definição dos critérios de aceite e casos de borda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Desenvolvimento: Desenvolvedor escreve testes unitários junto com o código (TDD para lógica crítica)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Pull Request: CI executa todos os testes; quality gates devem passar para merge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Sprint Review: QA realiza teste exploratório das novas funcionalidades em staging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Pre-release: execução completa dos testes E2E, performance e segurança DAST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Pós-deploy em produção: monitoramento ativo por 30 minutos com alertas configurados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6BB6A" w:sz="4" w:space="4"/>
      </w:pBdr>
      <w:spacing w:after="200" w:before="4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2026-06-01T22:11:09.993Z</dcterms:created>
  <dcterms:modified xsi:type="dcterms:W3CDTF">2026-06-01T22:11:09.993Z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