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DC0C22"/>
          <w:sz w:val="17"/>
          <w:szCs w:val="17"/>
        </w:rPr>
        <w:t xml:space="preserve">COMITÉ DE RIESGOS · SESIÓN ORDINARIA DEL 8 DE OCTUBRE DE 2026</w:t>
      </w:r>
    </w:p>
    <w:p>
      <w:pPr>
        <w:pStyle w:val="Title"/>
        <w:spacing w:after="80"/>
      </w:pPr>
      <w:r>
        <w:rPr>
          <w:rFonts w:ascii="Arial" w:cs="Arial" w:eastAsia="Arial" w:hAnsi="Arial"/>
          <w:b/>
          <w:bCs/>
          <w:color w:val="231E1F"/>
          <w:sz w:val="40"/>
          <w:szCs w:val="40"/>
        </w:rPr>
        <w:t xml:space="preserve">Informe de perfil de riesgo · Septiembre 2026</w:t>
      </w:r>
    </w:p>
    <w:p>
      <w:pPr>
        <w:spacing w:after="100" w:line="300"/>
      </w:pPr>
      <w:r>
        <w:rPr>
          <w:rFonts w:ascii="Arial" w:cs="Arial" w:eastAsia="Arial" w:hAnsi="Arial"/>
          <w:color w:val="6F6566"/>
          <w:sz w:val="18"/>
          <w:szCs w:val="18"/>
        </w:rPr>
        <w:t xml:space="preserve">Elaborado por la Subgerencia de Riesgo Integral · Clasificación: uso interno</w:t>
      </w:r>
    </w:p>
    <w:p>
      <w:pPr>
        <w:pBdr>
          <w:bottom w:val="single" w:color="DC0C22" w:sz="8" w:space="6"/>
        </w:pBdr>
        <w:spacing w:after="240"/>
      </w:pPr>
      <w:r>
        <w:rPr>
          <w:rFonts w:ascii="Arial" w:cs="Arial" w:eastAsia="Arial" w:hAnsi="Arial"/>
          <w:i/>
          <w:iCs/>
          <w:color w:val="6F6566"/>
          <w:sz w:val="17"/>
          <w:szCs w:val="17"/>
        </w:rPr>
        <w:t xml:space="preserve">Documento ficticio elaborado con fines de capacitación. No contiene información real del banco ni de sus clientes.</w:t>
      </w:r>
    </w:p>
    <w:p>
      <w:pPr>
        <w:pStyle w:val="Heading1"/>
        <w:keepNext/>
        <w:spacing w:after="120" w:before="300"/>
      </w:pPr>
      <w:r>
        <w:rPr>
          <w:rFonts w:ascii="Arial" w:cs="Arial" w:eastAsia="Arial" w:hAnsi="Arial"/>
          <w:b/>
          <w:bCs/>
          <w:color w:val="DC0C22"/>
          <w:sz w:val="26"/>
          <w:szCs w:val="26"/>
        </w:rPr>
        <w:t xml:space="preserve">1. Resumen ejecutivo</w:t>
      </w:r>
    </w:p>
    <w:p>
      <w:pPr>
        <w:spacing w:after="140" w:line="300"/>
      </w:pPr>
      <w:r>
        <w:rPr>
          <w:rFonts w:ascii="Arial" w:cs="Arial" w:eastAsia="Arial" w:hAnsi="Arial"/>
          <w:color w:val="231E1F"/>
          <w:sz w:val="21"/>
          <w:szCs w:val="21"/>
        </w:rPr>
        <w:t xml:space="preserve">Al cierre de septiembre, el banco se mantiene dentro del apetito de riesgo aprobado en todos los indicadores con límite definido. La mora total subió de 2.04% a 2.16% y continúa por debajo del límite de 3.5%. Dos situaciones requieren atención del Comité: la mora de tarjeta de crédito, que llegó a 3.91% y se acerca al nivel de alerta interno de 4.0%, y la cobertura de reservas de la cartera PYME, que bajó a 105.0%, por debajo del mínimo interno de 110%.</w:t>
      </w:r>
    </w:p>
    <w:p>
      <w:pPr>
        <w:spacing w:after="140" w:line="300"/>
      </w:pPr>
      <w:r>
        <w:rPr>
          <w:rFonts w:ascii="Arial" w:cs="Arial" w:eastAsia="Arial" w:hAnsi="Arial"/>
          <w:color w:val="231E1F"/>
          <w:sz w:val="21"/>
          <w:szCs w:val="21"/>
        </w:rPr>
        <w:t xml:space="preserve">Los indicadores de liquidez se mantienen holgados. En fraude transaccional se confirmaron 51 casos sobre 520 alertas, con una pérdida de $73,463.41; dos reglas de monitoreo mostraron una efectividad inferior al 4%.</w:t>
      </w:r>
    </w:p>
    <w:p>
      <w:pPr>
        <w:pStyle w:val="Heading1"/>
        <w:keepNext/>
        <w:spacing w:after="120" w:before="300"/>
      </w:pPr>
      <w:r>
        <w:rPr>
          <w:rFonts w:ascii="Arial" w:cs="Arial" w:eastAsia="Arial" w:hAnsi="Arial"/>
          <w:b/>
          <w:bCs/>
          <w:color w:val="DC0C22"/>
          <w:sz w:val="26"/>
          <w:szCs w:val="26"/>
        </w:rPr>
        <w:t xml:space="preserve">2. Riesgo de crédito</w:t>
      </w:r>
    </w:p>
    <w:p>
      <w:pPr>
        <w:spacing w:after="140" w:line="300"/>
      </w:pPr>
      <w:r>
        <w:rPr>
          <w:rFonts w:ascii="Arial" w:cs="Arial" w:eastAsia="Arial" w:hAnsi="Arial"/>
          <w:color w:val="231E1F"/>
          <w:sz w:val="21"/>
          <w:szCs w:val="21"/>
        </w:rPr>
        <w:t xml:space="preserve">El índice de mora considera el saldo con más de 90 días de atraso. La cobertura se calcula como reservas constituidas sobre saldo en mora.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60"/>
        <w:gridCol w:w="1250"/>
        <w:gridCol w:w="1000"/>
        <w:gridCol w:w="1000"/>
        <w:gridCol w:w="1250"/>
        <w:gridCol w:w="1400"/>
        <w:gridCol w:w="1400"/>
      </w:tblGrid>
      <w:tr>
        <w:trPr>
          <w:cantSplit/>
          <w:tblHeader/>
        </w:trPr>
        <w:tc>
          <w:tcPr>
            <w:tcW w:type="dxa" w:w="206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left"/>
            </w:pPr>
            <w:r>
              <w:rPr>
                <w:rFonts w:ascii="Arial" w:cs="Arial" w:eastAsia="Arial" w:hAnsi="Arial"/>
                <w:b/>
                <w:bCs/>
                <w:color w:val="FFFFFF"/>
                <w:sz w:val="18"/>
                <w:szCs w:val="18"/>
              </w:rPr>
              <w:t xml:space="preserve">Producto</w:t>
            </w:r>
          </w:p>
        </w:tc>
        <w:tc>
          <w:tcPr>
            <w:tcW w:type="dxa" w:w="125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Saldo sep (US$ M)</w:t>
            </w:r>
          </w:p>
        </w:tc>
        <w:tc>
          <w:tcPr>
            <w:tcW w:type="dxa" w:w="10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Mora ago</w:t>
            </w:r>
          </w:p>
        </w:tc>
        <w:tc>
          <w:tcPr>
            <w:tcW w:type="dxa" w:w="10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Mora sep</w:t>
            </w:r>
          </w:p>
        </w:tc>
        <w:tc>
          <w:tcPr>
            <w:tcW w:type="dxa" w:w="125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Variación (pp)</w:t>
            </w:r>
          </w:p>
        </w:tc>
        <w:tc>
          <w:tcPr>
            <w:tcW w:type="dxa" w:w="14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Cobertura ago</w:t>
            </w:r>
          </w:p>
        </w:tc>
        <w:tc>
          <w:tcPr>
            <w:tcW w:type="dxa" w:w="14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Cobertura sep</w:t>
            </w:r>
          </w:p>
        </w:tc>
      </w:tr>
      <w:tr>
        <w:trPr>
          <w:cantSplit/>
          <w:tblHeader w:val="false"/>
        </w:trPr>
        <w:tc>
          <w:tcPr>
            <w:tcW w:type="dxa" w:w="206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b w:val="false"/>
                <w:bCs w:val="false"/>
                <w:color w:val="231E1F"/>
                <w:sz w:val="18"/>
                <w:szCs w:val="18"/>
              </w:rPr>
              <w:t xml:space="preserve">Tarjeta de crédito</w:t>
            </w:r>
          </w:p>
        </w:tc>
        <w:tc>
          <w:tcPr>
            <w:tcW w:type="dxa" w:w="125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63.5</w:t>
            </w:r>
          </w:p>
        </w:tc>
        <w:tc>
          <w:tcPr>
            <w:tcW w:type="dxa" w:w="1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3.10%</w:t>
            </w:r>
          </w:p>
        </w:tc>
        <w:tc>
          <w:tcPr>
            <w:tcW w:type="dxa" w:w="1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3.91%</w:t>
            </w:r>
          </w:p>
        </w:tc>
        <w:tc>
          <w:tcPr>
            <w:tcW w:type="dxa" w:w="125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+0.81</w:t>
            </w:r>
          </w:p>
        </w:tc>
        <w:tc>
          <w:tcPr>
            <w:tcW w:type="dxa" w:w="14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135.4%</w:t>
            </w:r>
          </w:p>
        </w:tc>
        <w:tc>
          <w:tcPr>
            <w:tcW w:type="dxa" w:w="14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114.9%</w:t>
            </w:r>
          </w:p>
        </w:tc>
      </w:tr>
      <w:tr>
        <w:trPr>
          <w:cantSplit/>
          <w:tblHeader w:val="false"/>
        </w:trPr>
        <w:tc>
          <w:tcPr>
            <w:tcW w:type="dxa" w:w="206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left"/>
            </w:pPr>
            <w:r>
              <w:rPr>
                <w:rFonts w:ascii="Arial" w:cs="Arial" w:eastAsia="Arial" w:hAnsi="Arial"/>
                <w:b w:val="false"/>
                <w:bCs w:val="false"/>
                <w:color w:val="231E1F"/>
                <w:sz w:val="18"/>
                <w:szCs w:val="18"/>
              </w:rPr>
              <w:t xml:space="preserve">Préstamos de consumo</w:t>
            </w:r>
          </w:p>
        </w:tc>
        <w:tc>
          <w:tcPr>
            <w:tcW w:type="dxa" w:w="125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147.2</w:t>
            </w:r>
          </w:p>
        </w:tc>
        <w:tc>
          <w:tcPr>
            <w:tcW w:type="dxa" w:w="1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2.20%</w:t>
            </w:r>
          </w:p>
        </w:tc>
        <w:tc>
          <w:tcPr>
            <w:tcW w:type="dxa" w:w="1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2.20%</w:t>
            </w:r>
          </w:p>
        </w:tc>
        <w:tc>
          <w:tcPr>
            <w:tcW w:type="dxa" w:w="125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+0.00</w:t>
            </w:r>
          </w:p>
        </w:tc>
        <w:tc>
          <w:tcPr>
            <w:tcW w:type="dxa" w:w="14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128.5%</w:t>
            </w:r>
          </w:p>
        </w:tc>
        <w:tc>
          <w:tcPr>
            <w:tcW w:type="dxa" w:w="14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128.1%</w:t>
            </w:r>
          </w:p>
        </w:tc>
      </w:tr>
      <w:tr>
        <w:trPr>
          <w:cantSplit/>
          <w:tblHeader w:val="false"/>
        </w:trPr>
        <w:tc>
          <w:tcPr>
            <w:tcW w:type="dxa" w:w="206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b w:val="false"/>
                <w:bCs w:val="false"/>
                <w:color w:val="231E1F"/>
                <w:sz w:val="18"/>
                <w:szCs w:val="18"/>
              </w:rPr>
              <w:t xml:space="preserve">Vivienda</w:t>
            </w:r>
          </w:p>
        </w:tc>
        <w:tc>
          <w:tcPr>
            <w:tcW w:type="dxa" w:w="125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211.5</w:t>
            </w:r>
          </w:p>
        </w:tc>
        <w:tc>
          <w:tcPr>
            <w:tcW w:type="dxa" w:w="1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1.40%</w:t>
            </w:r>
          </w:p>
        </w:tc>
        <w:tc>
          <w:tcPr>
            <w:tcW w:type="dxa" w:w="1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1.37%</w:t>
            </w:r>
          </w:p>
        </w:tc>
        <w:tc>
          <w:tcPr>
            <w:tcW w:type="dxa" w:w="125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-0.03</w:t>
            </w:r>
          </w:p>
        </w:tc>
        <w:tc>
          <w:tcPr>
            <w:tcW w:type="dxa" w:w="14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112.2%</w:t>
            </w:r>
          </w:p>
        </w:tc>
        <w:tc>
          <w:tcPr>
            <w:tcW w:type="dxa" w:w="14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113.8%</w:t>
            </w:r>
          </w:p>
        </w:tc>
      </w:tr>
      <w:tr>
        <w:trPr>
          <w:cantSplit/>
          <w:tblHeader w:val="false"/>
        </w:trPr>
        <w:tc>
          <w:tcPr>
            <w:tcW w:type="dxa" w:w="206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left"/>
            </w:pPr>
            <w:r>
              <w:rPr>
                <w:rFonts w:ascii="Arial" w:cs="Arial" w:eastAsia="Arial" w:hAnsi="Arial"/>
                <w:b w:val="false"/>
                <w:bCs w:val="false"/>
                <w:color w:val="231E1F"/>
                <w:sz w:val="18"/>
                <w:szCs w:val="18"/>
              </w:rPr>
              <w:t xml:space="preserve">PYME</w:t>
            </w:r>
          </w:p>
        </w:tc>
        <w:tc>
          <w:tcPr>
            <w:tcW w:type="dxa" w:w="125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97.1</w:t>
            </w:r>
          </w:p>
        </w:tc>
        <w:tc>
          <w:tcPr>
            <w:tcW w:type="dxa" w:w="1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2.50%</w:t>
            </w:r>
          </w:p>
        </w:tc>
        <w:tc>
          <w:tcPr>
            <w:tcW w:type="dxa" w:w="1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2.70%</w:t>
            </w:r>
          </w:p>
        </w:tc>
        <w:tc>
          <w:tcPr>
            <w:tcW w:type="dxa" w:w="125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+0.20</w:t>
            </w:r>
          </w:p>
        </w:tc>
        <w:tc>
          <w:tcPr>
            <w:tcW w:type="dxa" w:w="14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110.2%</w:t>
            </w:r>
          </w:p>
        </w:tc>
        <w:tc>
          <w:tcPr>
            <w:tcW w:type="dxa" w:w="14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b w:val="false"/>
                <w:bCs w:val="false"/>
                <w:color w:val="231E1F"/>
                <w:sz w:val="18"/>
                <w:szCs w:val="18"/>
              </w:rPr>
              <w:t xml:space="preserve">105.0%</w:t>
            </w:r>
          </w:p>
        </w:tc>
      </w:tr>
      <w:tr>
        <w:trPr>
          <w:cantSplit/>
          <w:tblHeader w:val="false"/>
        </w:trPr>
        <w:tc>
          <w:tcPr>
            <w:tcW w:type="dxa" w:w="2060"/>
            <w:tcBorders>
              <w:top w:val="single" w:color="E3DCDC" w:sz="4"/>
              <w:left w:val="single" w:color="E3DCDC" w:sz="4"/>
              <w:bottom w:val="single" w:color="E3DCDC" w:sz="4"/>
              <w:right w:val="single" w:color="E3DCDC" w:sz="4"/>
            </w:tcBorders>
            <w:shd w:fill="FDEEF0" w:color="auto" w:val="clear"/>
            <w:tcMar>
              <w:top w:type="dxa" w:w="70"/>
              <w:left w:type="dxa" w:w="110"/>
              <w:bottom w:type="dxa" w:w="70"/>
              <w:right w:type="dxa" w:w="110"/>
            </w:tcMar>
          </w:tcPr>
          <w:p>
            <w:pPr>
              <w:keepNext w:val="false"/>
              <w:jc w:val="left"/>
            </w:pPr>
            <w:r>
              <w:rPr>
                <w:rFonts w:ascii="Arial" w:cs="Arial" w:eastAsia="Arial" w:hAnsi="Arial"/>
                <w:b/>
                <w:bCs/>
                <w:color w:val="231E1F"/>
                <w:sz w:val="18"/>
                <w:szCs w:val="18"/>
              </w:rPr>
              <w:t xml:space="preserve">Total</w:t>
            </w:r>
          </w:p>
        </w:tc>
        <w:tc>
          <w:tcPr>
            <w:tcW w:type="dxa" w:w="1250"/>
            <w:tcBorders>
              <w:top w:val="single" w:color="E3DCDC" w:sz="4"/>
              <w:left w:val="single" w:color="E3DCDC" w:sz="4"/>
              <w:bottom w:val="single" w:color="E3DCDC" w:sz="4"/>
              <w:right w:val="single" w:color="E3DCDC" w:sz="4"/>
            </w:tcBorders>
            <w:shd w:fill="FDEEF0" w:color="auto" w:val="clear"/>
            <w:tcMar>
              <w:top w:type="dxa" w:w="70"/>
              <w:left w:type="dxa" w:w="110"/>
              <w:bottom w:type="dxa" w:w="70"/>
              <w:right w:type="dxa" w:w="110"/>
            </w:tcMar>
          </w:tcPr>
          <w:p>
            <w:pPr>
              <w:keepNext w:val="false"/>
              <w:jc w:val="right"/>
            </w:pPr>
            <w:r>
              <w:rPr>
                <w:rFonts w:ascii="Arial" w:cs="Arial" w:eastAsia="Arial" w:hAnsi="Arial"/>
                <w:b/>
                <w:bCs/>
                <w:color w:val="231E1F"/>
                <w:sz w:val="18"/>
                <w:szCs w:val="18"/>
              </w:rPr>
              <w:t xml:space="preserve">519.3</w:t>
            </w:r>
          </w:p>
        </w:tc>
        <w:tc>
          <w:tcPr>
            <w:tcW w:type="dxa" w:w="1000"/>
            <w:tcBorders>
              <w:top w:val="single" w:color="E3DCDC" w:sz="4"/>
              <w:left w:val="single" w:color="E3DCDC" w:sz="4"/>
              <w:bottom w:val="single" w:color="E3DCDC" w:sz="4"/>
              <w:right w:val="single" w:color="E3DCDC" w:sz="4"/>
            </w:tcBorders>
            <w:shd w:fill="FDEEF0" w:color="auto" w:val="clear"/>
            <w:tcMar>
              <w:top w:type="dxa" w:w="70"/>
              <w:left w:type="dxa" w:w="110"/>
              <w:bottom w:type="dxa" w:w="70"/>
              <w:right w:type="dxa" w:w="110"/>
            </w:tcMar>
          </w:tcPr>
          <w:p>
            <w:pPr>
              <w:keepNext w:val="false"/>
              <w:jc w:val="right"/>
            </w:pPr>
            <w:r>
              <w:rPr>
                <w:rFonts w:ascii="Arial" w:cs="Arial" w:eastAsia="Arial" w:hAnsi="Arial"/>
                <w:b/>
                <w:bCs/>
                <w:color w:val="231E1F"/>
                <w:sz w:val="18"/>
                <w:szCs w:val="18"/>
              </w:rPr>
              <w:t xml:space="preserve">2.04%</w:t>
            </w:r>
          </w:p>
        </w:tc>
        <w:tc>
          <w:tcPr>
            <w:tcW w:type="dxa" w:w="1000"/>
            <w:tcBorders>
              <w:top w:val="single" w:color="E3DCDC" w:sz="4"/>
              <w:left w:val="single" w:color="E3DCDC" w:sz="4"/>
              <w:bottom w:val="single" w:color="E3DCDC" w:sz="4"/>
              <w:right w:val="single" w:color="E3DCDC" w:sz="4"/>
            </w:tcBorders>
            <w:shd w:fill="FDEEF0" w:color="auto" w:val="clear"/>
            <w:tcMar>
              <w:top w:type="dxa" w:w="70"/>
              <w:left w:type="dxa" w:w="110"/>
              <w:bottom w:type="dxa" w:w="70"/>
              <w:right w:type="dxa" w:w="110"/>
            </w:tcMar>
          </w:tcPr>
          <w:p>
            <w:pPr>
              <w:keepNext w:val="false"/>
              <w:jc w:val="right"/>
            </w:pPr>
            <w:r>
              <w:rPr>
                <w:rFonts w:ascii="Arial" w:cs="Arial" w:eastAsia="Arial" w:hAnsi="Arial"/>
                <w:b/>
                <w:bCs/>
                <w:color w:val="231E1F"/>
                <w:sz w:val="18"/>
                <w:szCs w:val="18"/>
              </w:rPr>
              <w:t xml:space="preserve">2.16%</w:t>
            </w:r>
          </w:p>
        </w:tc>
        <w:tc>
          <w:tcPr>
            <w:tcW w:type="dxa" w:w="1250"/>
            <w:tcBorders>
              <w:top w:val="single" w:color="E3DCDC" w:sz="4"/>
              <w:left w:val="single" w:color="E3DCDC" w:sz="4"/>
              <w:bottom w:val="single" w:color="E3DCDC" w:sz="4"/>
              <w:right w:val="single" w:color="E3DCDC" w:sz="4"/>
            </w:tcBorders>
            <w:shd w:fill="FDEEF0" w:color="auto" w:val="clear"/>
            <w:tcMar>
              <w:top w:type="dxa" w:w="70"/>
              <w:left w:type="dxa" w:w="110"/>
              <w:bottom w:type="dxa" w:w="70"/>
              <w:right w:type="dxa" w:w="110"/>
            </w:tcMar>
          </w:tcPr>
          <w:p>
            <w:pPr>
              <w:keepNext w:val="false"/>
              <w:jc w:val="right"/>
            </w:pPr>
            <w:r>
              <w:rPr>
                <w:rFonts w:ascii="Arial" w:cs="Arial" w:eastAsia="Arial" w:hAnsi="Arial"/>
                <w:b/>
                <w:bCs/>
                <w:color w:val="231E1F"/>
                <w:sz w:val="18"/>
                <w:szCs w:val="18"/>
              </w:rPr>
              <w:t xml:space="preserve">+0.13</w:t>
            </w:r>
          </w:p>
        </w:tc>
        <w:tc>
          <w:tcPr>
            <w:tcW w:type="dxa" w:w="1400"/>
            <w:tcBorders>
              <w:top w:val="single" w:color="E3DCDC" w:sz="4"/>
              <w:left w:val="single" w:color="E3DCDC" w:sz="4"/>
              <w:bottom w:val="single" w:color="E3DCDC" w:sz="4"/>
              <w:right w:val="single" w:color="E3DCDC" w:sz="4"/>
            </w:tcBorders>
            <w:shd w:fill="FDEEF0" w:color="auto" w:val="clear"/>
            <w:tcMar>
              <w:top w:type="dxa" w:w="70"/>
              <w:left w:type="dxa" w:w="110"/>
              <w:bottom w:type="dxa" w:w="70"/>
              <w:right w:type="dxa" w:w="110"/>
            </w:tcMar>
          </w:tcPr>
          <w:p>
            <w:pPr>
              <w:keepNext w:val="false"/>
              <w:jc w:val="right"/>
            </w:pPr>
            <w:r>
              <w:rPr>
                <w:rFonts w:ascii="Arial" w:cs="Arial" w:eastAsia="Arial" w:hAnsi="Arial"/>
                <w:b/>
                <w:bCs/>
                <w:color w:val="231E1F"/>
                <w:sz w:val="18"/>
                <w:szCs w:val="18"/>
              </w:rPr>
              <w:t xml:space="preserve">121.0%</w:t>
            </w:r>
          </w:p>
        </w:tc>
        <w:tc>
          <w:tcPr>
            <w:tcW w:type="dxa" w:w="1400"/>
            <w:tcBorders>
              <w:top w:val="single" w:color="E3DCDC" w:sz="4"/>
              <w:left w:val="single" w:color="E3DCDC" w:sz="4"/>
              <w:bottom w:val="single" w:color="E3DCDC" w:sz="4"/>
              <w:right w:val="single" w:color="E3DCDC" w:sz="4"/>
            </w:tcBorders>
            <w:shd w:fill="FDEEF0" w:color="auto" w:val="clear"/>
            <w:tcMar>
              <w:top w:type="dxa" w:w="70"/>
              <w:left w:type="dxa" w:w="110"/>
              <w:bottom w:type="dxa" w:w="70"/>
              <w:right w:type="dxa" w:w="110"/>
            </w:tcMar>
          </w:tcPr>
          <w:p>
            <w:pPr>
              <w:keepNext w:val="false"/>
              <w:jc w:val="right"/>
            </w:pPr>
            <w:r>
              <w:rPr>
                <w:rFonts w:ascii="Arial" w:cs="Arial" w:eastAsia="Arial" w:hAnsi="Arial"/>
                <w:b/>
                <w:bCs/>
                <w:color w:val="231E1F"/>
                <w:sz w:val="18"/>
                <w:szCs w:val="18"/>
              </w:rPr>
              <w:t xml:space="preserve">116.1%</w:t>
            </w:r>
          </w:p>
        </w:tc>
      </w:tr>
    </w:tbl>
    <w:p>
      <w:pPr>
        <w:spacing w:after="120"/>
      </w:pPr>
    </w:p>
    <w:p>
      <w:pPr>
        <w:spacing w:after="140" w:line="300"/>
      </w:pPr>
      <w:r>
        <w:rPr>
          <w:rFonts w:ascii="Arial" w:cs="Arial" w:eastAsia="Arial" w:hAnsi="Arial"/>
          <w:color w:val="231E1F"/>
          <w:sz w:val="21"/>
          <w:szCs w:val="21"/>
        </w:rPr>
        <w:t xml:space="preserve">La tarjeta de crédito explica la mayor parte del deterioro: su mora aumentó 0.81 puntos porcentuales en el mes. El análisis preliminar indica que el aumento se concentra en las tarjetas emitidas durante la campaña del primer semestre de 2026, en particular en solicitantes con poco historial crediticio. Para confirmarlo se encuentra en proceso un análisis por cosecha.</w:t>
      </w:r>
    </w:p>
    <w:p>
      <w:pPr>
        <w:spacing w:after="140" w:line="300"/>
      </w:pPr>
      <w:r>
        <w:rPr>
          <w:rFonts w:ascii="Arial" w:cs="Arial" w:eastAsia="Arial" w:hAnsi="Arial"/>
          <w:color w:val="231E1F"/>
          <w:sz w:val="21"/>
          <w:szCs w:val="21"/>
        </w:rPr>
        <w:t xml:space="preserve">La cartera PYME registró un aumento de mora en dos créditos del sector comercio, lo que redujo su cobertura de 110.2% a 105.0%. Se propone al Comité un plan para restablecer el mínimo interno en un plazo de 90 días.</w:t>
      </w:r>
    </w:p>
    <w:p>
      <w:pPr>
        <w:pStyle w:val="Heading1"/>
        <w:keepNext/>
        <w:spacing w:after="120" w:before="300"/>
      </w:pPr>
      <w:r>
        <w:rPr>
          <w:rFonts w:ascii="Arial" w:cs="Arial" w:eastAsia="Arial" w:hAnsi="Arial"/>
          <w:b/>
          <w:bCs/>
          <w:color w:val="DC0C22"/>
          <w:sz w:val="26"/>
          <w:szCs w:val="26"/>
        </w:rPr>
        <w:t xml:space="preserve">3. Concentración de cartera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000"/>
        <w:gridCol w:w="2000"/>
        <w:gridCol w:w="2000"/>
      </w:tblGrid>
      <w:tr>
        <w:trPr>
          <w:cantSplit/>
          <w:tblHeader/>
        </w:trPr>
        <w:tc>
          <w:tcPr>
            <w:tcW w:type="dxa" w:w="336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left"/>
            </w:pPr>
            <w:r>
              <w:rPr>
                <w:rFonts w:ascii="Arial" w:cs="Arial" w:eastAsia="Arial" w:hAnsi="Arial"/>
                <w:b/>
                <w:bCs/>
                <w:color w:val="FFFFFF"/>
                <w:sz w:val="18"/>
                <w:szCs w:val="18"/>
              </w:rPr>
              <w:t xml:space="preserve">Sector</w:t>
            </w:r>
          </w:p>
        </w:tc>
        <w:tc>
          <w:tcPr>
            <w:tcW w:type="dxa" w:w="20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Saldo (US$ M)</w:t>
            </w:r>
          </w:p>
        </w:tc>
        <w:tc>
          <w:tcPr>
            <w:tcW w:type="dxa" w:w="20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 de la cartera</w:t>
            </w:r>
          </w:p>
        </w:tc>
        <w:tc>
          <w:tcPr>
            <w:tcW w:type="dxa" w:w="20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Límite interno</w:t>
            </w:r>
          </w:p>
        </w:tc>
      </w:tr>
      <w:tr>
        <w:trPr>
          <w:cantSplit/>
          <w:tblHeader w:val="false"/>
        </w:trPr>
        <w:tc>
          <w:tcPr>
            <w:tcW w:type="dxa" w:w="336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Comercio</w:t>
            </w:r>
          </w:p>
        </w:tc>
        <w:tc>
          <w:tcPr>
            <w:tcW w:type="dxa" w:w="2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96.4</w:t>
            </w:r>
          </w:p>
        </w:tc>
        <w:tc>
          <w:tcPr>
            <w:tcW w:type="dxa" w:w="2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18.6%</w:t>
            </w:r>
          </w:p>
        </w:tc>
        <w:tc>
          <w:tcPr>
            <w:tcW w:type="dxa" w:w="2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20%</w:t>
            </w:r>
          </w:p>
        </w:tc>
      </w:tr>
      <w:tr>
        <w:trPr>
          <w:cantSplit/>
          <w:tblHeader w:val="false"/>
        </w:trPr>
        <w:tc>
          <w:tcPr>
            <w:tcW w:type="dxa" w:w="336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left"/>
            </w:pPr>
            <w:r>
              <w:rPr>
                <w:rFonts w:ascii="Arial" w:cs="Arial" w:eastAsia="Arial" w:hAnsi="Arial"/>
                <w:color w:val="231E1F"/>
                <w:sz w:val="18"/>
                <w:szCs w:val="18"/>
              </w:rPr>
              <w:t xml:space="preserve">Servicios</w:t>
            </w:r>
          </w:p>
        </w:tc>
        <w:tc>
          <w:tcPr>
            <w:tcW w:type="dxa" w:w="2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color w:val="231E1F"/>
                <w:sz w:val="18"/>
                <w:szCs w:val="18"/>
              </w:rPr>
              <w:t xml:space="preserve">71.2</w:t>
            </w:r>
          </w:p>
        </w:tc>
        <w:tc>
          <w:tcPr>
            <w:tcW w:type="dxa" w:w="2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color w:val="231E1F"/>
                <w:sz w:val="18"/>
                <w:szCs w:val="18"/>
              </w:rPr>
              <w:t xml:space="preserve">13.7%</w:t>
            </w:r>
          </w:p>
        </w:tc>
        <w:tc>
          <w:tcPr>
            <w:tcW w:type="dxa" w:w="2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color w:val="231E1F"/>
                <w:sz w:val="18"/>
                <w:szCs w:val="18"/>
              </w:rPr>
              <w:t xml:space="preserve">20%</w:t>
            </w:r>
          </w:p>
        </w:tc>
      </w:tr>
      <w:tr>
        <w:trPr>
          <w:cantSplit/>
          <w:tblHeader w:val="false"/>
        </w:trPr>
        <w:tc>
          <w:tcPr>
            <w:tcW w:type="dxa" w:w="336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Construcción</w:t>
            </w:r>
          </w:p>
        </w:tc>
        <w:tc>
          <w:tcPr>
            <w:tcW w:type="dxa" w:w="2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54.9</w:t>
            </w:r>
          </w:p>
        </w:tc>
        <w:tc>
          <w:tcPr>
            <w:tcW w:type="dxa" w:w="2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10.6%</w:t>
            </w:r>
          </w:p>
        </w:tc>
        <w:tc>
          <w:tcPr>
            <w:tcW w:type="dxa" w:w="20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12%</w:t>
            </w:r>
          </w:p>
        </w:tc>
      </w:tr>
      <w:tr>
        <w:trPr>
          <w:cantSplit/>
          <w:tblHeader w:val="false"/>
        </w:trPr>
        <w:tc>
          <w:tcPr>
            <w:tcW w:type="dxa" w:w="336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left"/>
            </w:pPr>
            <w:r>
              <w:rPr>
                <w:rFonts w:ascii="Arial" w:cs="Arial" w:eastAsia="Arial" w:hAnsi="Arial"/>
                <w:color w:val="231E1F"/>
                <w:sz w:val="18"/>
                <w:szCs w:val="18"/>
              </w:rPr>
              <w:t xml:space="preserve">Agroindustria</w:t>
            </w:r>
          </w:p>
        </w:tc>
        <w:tc>
          <w:tcPr>
            <w:tcW w:type="dxa" w:w="2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right"/>
            </w:pPr>
            <w:r>
              <w:rPr>
                <w:rFonts w:ascii="Arial" w:cs="Arial" w:eastAsia="Arial" w:hAnsi="Arial"/>
                <w:color w:val="231E1F"/>
                <w:sz w:val="18"/>
                <w:szCs w:val="18"/>
              </w:rPr>
              <w:t xml:space="preserve">31.0</w:t>
            </w:r>
          </w:p>
        </w:tc>
        <w:tc>
          <w:tcPr>
            <w:tcW w:type="dxa" w:w="2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right"/>
            </w:pPr>
            <w:r>
              <w:rPr>
                <w:rFonts w:ascii="Arial" w:cs="Arial" w:eastAsia="Arial" w:hAnsi="Arial"/>
                <w:color w:val="231E1F"/>
                <w:sz w:val="18"/>
                <w:szCs w:val="18"/>
              </w:rPr>
              <w:t xml:space="preserve">6.0%</w:t>
            </w:r>
          </w:p>
        </w:tc>
        <w:tc>
          <w:tcPr>
            <w:tcW w:type="dxa" w:w="20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right"/>
            </w:pPr>
            <w:r>
              <w:rPr>
                <w:rFonts w:ascii="Arial" w:cs="Arial" w:eastAsia="Arial" w:hAnsi="Arial"/>
                <w:color w:val="231E1F"/>
                <w:sz w:val="18"/>
                <w:szCs w:val="18"/>
              </w:rPr>
              <w:t xml:space="preserve">10%</w:t>
            </w:r>
          </w:p>
        </w:tc>
      </w:tr>
    </w:tbl>
    <w:p>
      <w:pPr>
        <w:spacing w:after="120"/>
      </w:pPr>
    </w:p>
    <w:p>
      <w:pPr>
        <w:spacing w:after="140" w:line="300"/>
      </w:pPr>
      <w:r>
        <w:rPr>
          <w:rFonts w:ascii="Arial" w:cs="Arial" w:eastAsia="Arial" w:hAnsi="Arial"/>
          <w:color w:val="231E1F"/>
          <w:sz w:val="21"/>
          <w:szCs w:val="21"/>
        </w:rPr>
        <w:t xml:space="preserve">Comercio y construcción se encuentran a menos de 2 puntos de su límite, por lo que se mantienen en seguimiento mensual.</w:t>
      </w:r>
    </w:p>
    <w:p>
      <w:pPr>
        <w:pStyle w:val="Heading1"/>
        <w:keepNext/>
        <w:spacing w:after="120" w:before="300"/>
      </w:pPr>
      <w:r>
        <w:rPr>
          <w:rFonts w:ascii="Arial" w:cs="Arial" w:eastAsia="Arial" w:hAnsi="Arial"/>
          <w:b/>
          <w:bCs/>
          <w:color w:val="DC0C22"/>
          <w:sz w:val="26"/>
          <w:szCs w:val="26"/>
        </w:rPr>
        <w:t xml:space="preserve">4. Riesgo de liquidez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1600"/>
        <w:gridCol w:w="1600"/>
        <w:gridCol w:w="1600"/>
      </w:tblGrid>
      <w:tr>
        <w:trPr>
          <w:cantSplit/>
          <w:tblHeader/>
        </w:trPr>
        <w:tc>
          <w:tcPr>
            <w:tcW w:type="dxa" w:w="456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left"/>
            </w:pPr>
            <w:r>
              <w:rPr>
                <w:rFonts w:ascii="Arial" w:cs="Arial" w:eastAsia="Arial" w:hAnsi="Arial"/>
                <w:b/>
                <w:bCs/>
                <w:color w:val="FFFFFF"/>
                <w:sz w:val="18"/>
                <w:szCs w:val="18"/>
              </w:rPr>
              <w:t xml:space="preserve">Indicador</w:t>
            </w:r>
          </w:p>
        </w:tc>
        <w:tc>
          <w:tcPr>
            <w:tcW w:type="dxa" w:w="16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Agosto</w:t>
            </w:r>
          </w:p>
        </w:tc>
        <w:tc>
          <w:tcPr>
            <w:tcW w:type="dxa" w:w="16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Septiembre</w:t>
            </w:r>
          </w:p>
        </w:tc>
        <w:tc>
          <w:tcPr>
            <w:tcW w:type="dxa" w:w="16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Límite interno</w:t>
            </w:r>
          </w:p>
        </w:tc>
      </w:tr>
      <w:tr>
        <w:trPr>
          <w:cantSplit/>
          <w:tblHeader w:val="false"/>
        </w:trPr>
        <w:tc>
          <w:tcPr>
            <w:tcW w:type="dxa" w:w="456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Coeficiente de cobertura de liquidez (CCL)</w:t>
            </w:r>
          </w:p>
        </w:tc>
        <w:tc>
          <w:tcPr>
            <w:tcW w:type="dxa" w:w="16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141%</w:t>
            </w:r>
          </w:p>
        </w:tc>
        <w:tc>
          <w:tcPr>
            <w:tcW w:type="dxa" w:w="16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138%</w:t>
            </w:r>
          </w:p>
        </w:tc>
        <w:tc>
          <w:tcPr>
            <w:tcW w:type="dxa" w:w="16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115%</w:t>
            </w:r>
          </w:p>
        </w:tc>
      </w:tr>
      <w:tr>
        <w:trPr>
          <w:cantSplit/>
          <w:tblHeader w:val="false"/>
        </w:trPr>
        <w:tc>
          <w:tcPr>
            <w:tcW w:type="dxa" w:w="456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left"/>
            </w:pPr>
            <w:r>
              <w:rPr>
                <w:rFonts w:ascii="Arial" w:cs="Arial" w:eastAsia="Arial" w:hAnsi="Arial"/>
                <w:color w:val="231E1F"/>
                <w:sz w:val="18"/>
                <w:szCs w:val="18"/>
              </w:rPr>
              <w:t xml:space="preserve">Coeficiente de financiamiento estable neto (CFEN)</w:t>
            </w:r>
          </w:p>
        </w:tc>
        <w:tc>
          <w:tcPr>
            <w:tcW w:type="dxa" w:w="16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right"/>
            </w:pPr>
            <w:r>
              <w:rPr>
                <w:rFonts w:ascii="Arial" w:cs="Arial" w:eastAsia="Arial" w:hAnsi="Arial"/>
                <w:color w:val="231E1F"/>
                <w:sz w:val="18"/>
                <w:szCs w:val="18"/>
              </w:rPr>
              <w:t xml:space="preserve">113%</w:t>
            </w:r>
          </w:p>
        </w:tc>
        <w:tc>
          <w:tcPr>
            <w:tcW w:type="dxa" w:w="16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right"/>
            </w:pPr>
            <w:r>
              <w:rPr>
                <w:rFonts w:ascii="Arial" w:cs="Arial" w:eastAsia="Arial" w:hAnsi="Arial"/>
                <w:color w:val="231E1F"/>
                <w:sz w:val="18"/>
                <w:szCs w:val="18"/>
              </w:rPr>
              <w:t xml:space="preserve">112%</w:t>
            </w:r>
          </w:p>
        </w:tc>
        <w:tc>
          <w:tcPr>
            <w:tcW w:type="dxa" w:w="16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right"/>
            </w:pPr>
            <w:r>
              <w:rPr>
                <w:rFonts w:ascii="Arial" w:cs="Arial" w:eastAsia="Arial" w:hAnsi="Arial"/>
                <w:color w:val="231E1F"/>
                <w:sz w:val="18"/>
                <w:szCs w:val="18"/>
              </w:rPr>
              <w:t xml:space="preserve">105%</w:t>
            </w:r>
          </w:p>
        </w:tc>
      </w:tr>
    </w:tbl>
    <w:p>
      <w:pPr>
        <w:spacing w:after="120"/>
      </w:pPr>
    </w:p>
    <w:p>
      <w:pPr>
        <w:spacing w:after="140" w:line="300"/>
      </w:pPr>
      <w:r>
        <w:rPr>
          <w:rFonts w:ascii="Arial" w:cs="Arial" w:eastAsia="Arial" w:hAnsi="Arial"/>
          <w:color w:val="231E1F"/>
          <w:sz w:val="21"/>
          <w:szCs w:val="21"/>
        </w:rPr>
        <w:t xml:space="preserve">La leve reducción del CCL se explica por el vencimiento de inversiones de corto plazo que se reinvirtieron en cartera. Ambos indicadores mantienen una holgura adecuada.</w:t>
      </w:r>
    </w:p>
    <w:p>
      <w:pPr>
        <w:pStyle w:val="Heading1"/>
        <w:keepNext/>
        <w:spacing w:after="120" w:before="300"/>
      </w:pPr>
      <w:r>
        <w:rPr>
          <w:rFonts w:ascii="Arial" w:cs="Arial" w:eastAsia="Arial" w:hAnsi="Arial"/>
          <w:b/>
          <w:bCs/>
          <w:color w:val="DC0C22"/>
          <w:sz w:val="26"/>
          <w:szCs w:val="26"/>
        </w:rPr>
        <w:t xml:space="preserve">5. Riesgo operacional</w:t>
      </w:r>
    </w:p>
    <w:p>
      <w:pPr>
        <w:spacing w:after="140" w:line="300"/>
      </w:pPr>
      <w:r>
        <w:rPr>
          <w:rFonts w:ascii="Arial" w:cs="Arial" w:eastAsia="Arial" w:hAnsi="Arial"/>
          <w:color w:val="231E1F"/>
          <w:sz w:val="21"/>
          <w:szCs w:val="21"/>
        </w:rPr>
        <w:t xml:space="preserve">Se registraron 5 eventos de riesgo operacional (6 en agosto), con una pérdida total de $6,400. Ninguno se clasificó como crítico. El evento de mayor impacto fue una interrupción de dos horas en el canal de banca móvil, atendida conforme al plan de continuidad.</w:t>
      </w:r>
    </w:p>
    <w:p>
      <w:pPr>
        <w:pStyle w:val="Heading1"/>
        <w:keepNext/>
        <w:spacing w:after="120" w:before="300"/>
      </w:pPr>
      <w:r>
        <w:rPr>
          <w:rFonts w:ascii="Arial" w:cs="Arial" w:eastAsia="Arial" w:hAnsi="Arial"/>
          <w:b/>
          <w:bCs/>
          <w:color w:val="DC0C22"/>
          <w:sz w:val="26"/>
          <w:szCs w:val="26"/>
        </w:rPr>
        <w:t xml:space="preserve">6. Fraude transaccional</w:t>
      </w:r>
    </w:p>
    <w:p>
      <w:pPr>
        <w:spacing w:after="140" w:line="300"/>
      </w:pPr>
      <w:r>
        <w:rPr>
          <w:rFonts w:ascii="Arial" w:cs="Arial" w:eastAsia="Arial" w:hAnsi="Arial"/>
          <w:color w:val="231E1F"/>
          <w:sz w:val="21"/>
          <w:szCs w:val="21"/>
        </w:rPr>
        <w:t xml:space="preserve">El sistema de monitoreo generó 520 alertas, de las cuales 51 se confirmaron como fraude. La pérdida total del mes fue de $73,463.41.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cantSplit/>
          <w:tblHeader/>
        </w:trPr>
        <w:tc>
          <w:tcPr>
            <w:tcW w:type="dxa" w:w="436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left"/>
            </w:pPr>
            <w:r>
              <w:rPr>
                <w:rFonts w:ascii="Arial" w:cs="Arial" w:eastAsia="Arial" w:hAnsi="Arial"/>
                <w:b/>
                <w:bCs/>
                <w:color w:val="FFFFFF"/>
                <w:sz w:val="18"/>
                <w:szCs w:val="18"/>
              </w:rPr>
              <w:t xml:space="preserve">Tipología</w:t>
            </w:r>
          </w:p>
        </w:tc>
        <w:tc>
          <w:tcPr>
            <w:tcW w:type="dxa" w:w="25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Casos confirmados</w:t>
            </w:r>
          </w:p>
        </w:tc>
        <w:tc>
          <w:tcPr>
            <w:tcW w:type="dxa" w:w="25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right"/>
            </w:pPr>
            <w:r>
              <w:rPr>
                <w:rFonts w:ascii="Arial" w:cs="Arial" w:eastAsia="Arial" w:hAnsi="Arial"/>
                <w:b/>
                <w:bCs/>
                <w:color w:val="FFFFFF"/>
                <w:sz w:val="18"/>
                <w:szCs w:val="18"/>
              </w:rPr>
              <w:t xml:space="preserve">Pérdida (US$)</w:t>
            </w:r>
          </w:p>
        </w:tc>
      </w:tr>
      <w:tr>
        <w:trPr>
          <w:cantSplit/>
          <w:tblHeader w:val="false"/>
        </w:trPr>
        <w:tc>
          <w:tcPr>
            <w:tcW w:type="dxa" w:w="436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Suplantación telefónica</w:t>
            </w:r>
          </w:p>
        </w:tc>
        <w:tc>
          <w:tcPr>
            <w:tcW w:type="dxa" w:w="25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22</w:t>
            </w:r>
          </w:p>
        </w:tc>
        <w:tc>
          <w:tcPr>
            <w:tcW w:type="dxa" w:w="25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$39,579.81</w:t>
            </w:r>
          </w:p>
        </w:tc>
      </w:tr>
      <w:tr>
        <w:trPr>
          <w:cantSplit/>
          <w:tblHeader w:val="false"/>
        </w:trPr>
        <w:tc>
          <w:tcPr>
            <w:tcW w:type="dxa" w:w="436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left"/>
            </w:pPr>
            <w:r>
              <w:rPr>
                <w:rFonts w:ascii="Arial" w:cs="Arial" w:eastAsia="Arial" w:hAnsi="Arial"/>
                <w:color w:val="231E1F"/>
                <w:sz w:val="18"/>
                <w:szCs w:val="18"/>
              </w:rPr>
              <w:t xml:space="preserve">Toma de cuenta</w:t>
            </w:r>
          </w:p>
        </w:tc>
        <w:tc>
          <w:tcPr>
            <w:tcW w:type="dxa" w:w="25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color w:val="231E1F"/>
                <w:sz w:val="18"/>
                <w:szCs w:val="18"/>
              </w:rPr>
              <w:t xml:space="preserve">14</w:t>
            </w:r>
          </w:p>
        </w:tc>
        <w:tc>
          <w:tcPr>
            <w:tcW w:type="dxa" w:w="25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right"/>
            </w:pPr>
            <w:r>
              <w:rPr>
                <w:rFonts w:ascii="Arial" w:cs="Arial" w:eastAsia="Arial" w:hAnsi="Arial"/>
                <w:color w:val="231E1F"/>
                <w:sz w:val="18"/>
                <w:szCs w:val="18"/>
              </w:rPr>
              <w:t xml:space="preserve">$28,571.14</w:t>
            </w:r>
          </w:p>
        </w:tc>
      </w:tr>
      <w:tr>
        <w:trPr>
          <w:cantSplit/>
          <w:tblHeader w:val="false"/>
        </w:trPr>
        <w:tc>
          <w:tcPr>
            <w:tcW w:type="dxa" w:w="436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Compra no presencial</w:t>
            </w:r>
          </w:p>
        </w:tc>
        <w:tc>
          <w:tcPr>
            <w:tcW w:type="dxa" w:w="25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9</w:t>
            </w:r>
          </w:p>
        </w:tc>
        <w:tc>
          <w:tcPr>
            <w:tcW w:type="dxa" w:w="25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right"/>
            </w:pPr>
            <w:r>
              <w:rPr>
                <w:rFonts w:ascii="Arial" w:cs="Arial" w:eastAsia="Arial" w:hAnsi="Arial"/>
                <w:color w:val="231E1F"/>
                <w:sz w:val="18"/>
                <w:szCs w:val="18"/>
              </w:rPr>
              <w:t xml:space="preserve">$3,283.65</w:t>
            </w:r>
          </w:p>
        </w:tc>
      </w:tr>
      <w:tr>
        <w:trPr>
          <w:cantSplit/>
          <w:tblHeader w:val="false"/>
        </w:trPr>
        <w:tc>
          <w:tcPr>
            <w:tcW w:type="dxa" w:w="436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left"/>
            </w:pPr>
            <w:r>
              <w:rPr>
                <w:rFonts w:ascii="Arial" w:cs="Arial" w:eastAsia="Arial" w:hAnsi="Arial"/>
                <w:color w:val="231E1F"/>
                <w:sz w:val="18"/>
                <w:szCs w:val="18"/>
              </w:rPr>
              <w:t xml:space="preserve">Clonación de tarjeta</w:t>
            </w:r>
          </w:p>
        </w:tc>
        <w:tc>
          <w:tcPr>
            <w:tcW w:type="dxa" w:w="25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right"/>
            </w:pPr>
            <w:r>
              <w:rPr>
                <w:rFonts w:ascii="Arial" w:cs="Arial" w:eastAsia="Arial" w:hAnsi="Arial"/>
                <w:color w:val="231E1F"/>
                <w:sz w:val="18"/>
                <w:szCs w:val="18"/>
              </w:rPr>
              <w:t xml:space="preserve">6</w:t>
            </w:r>
          </w:p>
        </w:tc>
        <w:tc>
          <w:tcPr>
            <w:tcW w:type="dxa" w:w="25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right"/>
            </w:pPr>
            <w:r>
              <w:rPr>
                <w:rFonts w:ascii="Arial" w:cs="Arial" w:eastAsia="Arial" w:hAnsi="Arial"/>
                <w:color w:val="231E1F"/>
                <w:sz w:val="18"/>
                <w:szCs w:val="18"/>
              </w:rPr>
              <w:t xml:space="preserve">$2,028.81</w:t>
            </w:r>
          </w:p>
        </w:tc>
      </w:tr>
    </w:tbl>
    <w:p>
      <w:pPr>
        <w:spacing w:after="120"/>
      </w:pPr>
    </w:p>
    <w:p>
      <w:pPr>
        <w:spacing w:after="140" w:line="300"/>
      </w:pPr>
      <w:r>
        <w:rPr>
          <w:rFonts w:ascii="Arial" w:cs="Arial" w:eastAsia="Arial" w:hAnsi="Arial"/>
          <w:color w:val="231E1F"/>
          <w:sz w:val="21"/>
          <w:szCs w:val="21"/>
        </w:rPr>
        <w:t xml:space="preserve">Las reglas R01 (compra no presencial en la primera semana de la tarjeta) y R04 (compra internacional en comercio de alto riesgo) mostraron una efectividad de 3.6% y 3.3%, respectivamente, y concentran la mayor parte de los falsos positivos. Analítica de Fraude prepara una propuesta de ajuste.</w:t>
      </w:r>
    </w:p>
    <w:p>
      <w:pPr>
        <w:pStyle w:val="Heading1"/>
        <w:keepNext/>
        <w:spacing w:after="120" w:before="300"/>
      </w:pPr>
      <w:r>
        <w:rPr>
          <w:rFonts w:ascii="Arial" w:cs="Arial" w:eastAsia="Arial" w:hAnsi="Arial"/>
          <w:b/>
          <w:bCs/>
          <w:color w:val="DC0C22"/>
          <w:sz w:val="26"/>
          <w:szCs w:val="26"/>
        </w:rPr>
        <w:t xml:space="preserve">7. Seguimiento de acuerdos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2200"/>
        <w:gridCol w:w="1300"/>
        <w:gridCol w:w="2100"/>
      </w:tblGrid>
      <w:tr>
        <w:trPr>
          <w:cantSplit/>
          <w:tblHeader/>
        </w:trPr>
        <w:tc>
          <w:tcPr>
            <w:tcW w:type="dxa" w:w="376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left"/>
            </w:pPr>
            <w:r>
              <w:rPr>
                <w:rFonts w:ascii="Arial" w:cs="Arial" w:eastAsia="Arial" w:hAnsi="Arial"/>
                <w:b/>
                <w:bCs/>
                <w:color w:val="FFFFFF"/>
                <w:sz w:val="18"/>
                <w:szCs w:val="18"/>
              </w:rPr>
              <w:t xml:space="preserve">Acuerdo</w:t>
            </w:r>
          </w:p>
        </w:tc>
        <w:tc>
          <w:tcPr>
            <w:tcW w:type="dxa" w:w="22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left"/>
            </w:pPr>
            <w:r>
              <w:rPr>
                <w:rFonts w:ascii="Arial" w:cs="Arial" w:eastAsia="Arial" w:hAnsi="Arial"/>
                <w:b/>
                <w:bCs/>
                <w:color w:val="FFFFFF"/>
                <w:sz w:val="18"/>
                <w:szCs w:val="18"/>
              </w:rPr>
              <w:t xml:space="preserve">Responsable</w:t>
            </w:r>
          </w:p>
        </w:tc>
        <w:tc>
          <w:tcPr>
            <w:tcW w:type="dxa" w:w="13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left"/>
            </w:pPr>
            <w:r>
              <w:rPr>
                <w:rFonts w:ascii="Arial" w:cs="Arial" w:eastAsia="Arial" w:hAnsi="Arial"/>
                <w:b/>
                <w:bCs/>
                <w:color w:val="FFFFFF"/>
                <w:sz w:val="18"/>
                <w:szCs w:val="18"/>
              </w:rPr>
              <w:t xml:space="preserve">Fecha</w:t>
            </w:r>
          </w:p>
        </w:tc>
        <w:tc>
          <w:tcPr>
            <w:tcW w:type="dxa" w:w="2100"/>
            <w:tcBorders>
              <w:top w:val="single" w:color="E3DCDC" w:sz="4"/>
              <w:left w:val="single" w:color="E3DCDC" w:sz="4"/>
              <w:bottom w:val="single" w:color="E3DCDC" w:sz="4"/>
              <w:right w:val="single" w:color="E3DCDC" w:sz="4"/>
            </w:tcBorders>
            <w:shd w:fill="231E1F" w:color="auto" w:val="clear"/>
            <w:tcMar>
              <w:top w:type="dxa" w:w="70"/>
              <w:left w:type="dxa" w:w="110"/>
              <w:bottom w:type="dxa" w:w="70"/>
              <w:right w:type="dxa" w:w="110"/>
            </w:tcMar>
          </w:tcPr>
          <w:p>
            <w:pPr>
              <w:keepNext/>
              <w:jc w:val="left"/>
            </w:pPr>
            <w:r>
              <w:rPr>
                <w:rFonts w:ascii="Arial" w:cs="Arial" w:eastAsia="Arial" w:hAnsi="Arial"/>
                <w:b/>
                <w:bCs/>
                <w:color w:val="FFFFFF"/>
                <w:sz w:val="18"/>
                <w:szCs w:val="18"/>
              </w:rPr>
              <w:t xml:space="preserve">Estado</w:t>
            </w:r>
          </w:p>
        </w:tc>
      </w:tr>
      <w:tr>
        <w:trPr>
          <w:cantSplit/>
          <w:tblHeader w:val="false"/>
        </w:trPr>
        <w:tc>
          <w:tcPr>
            <w:tcW w:type="dxa" w:w="376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Análisis por cosecha de las tarjetas emitidas en el primer semestre de 2026</w:t>
            </w:r>
          </w:p>
        </w:tc>
        <w:tc>
          <w:tcPr>
            <w:tcW w:type="dxa" w:w="22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Riesgos de Banca de Personas</w:t>
            </w:r>
          </w:p>
        </w:tc>
        <w:tc>
          <w:tcPr>
            <w:tcW w:type="dxa" w:w="13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15 oct 2026</w:t>
            </w:r>
          </w:p>
        </w:tc>
        <w:tc>
          <w:tcPr>
            <w:tcW w:type="dxa" w:w="21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En proceso</w:t>
            </w:r>
          </w:p>
        </w:tc>
      </w:tr>
      <w:tr>
        <w:trPr>
          <w:cantSplit/>
          <w:tblHeader w:val="false"/>
        </w:trPr>
        <w:tc>
          <w:tcPr>
            <w:tcW w:type="dxa" w:w="376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left"/>
            </w:pPr>
            <w:r>
              <w:rPr>
                <w:rFonts w:ascii="Arial" w:cs="Arial" w:eastAsia="Arial" w:hAnsi="Arial"/>
                <w:color w:val="231E1F"/>
                <w:sz w:val="18"/>
                <w:szCs w:val="18"/>
              </w:rPr>
              <w:t xml:space="preserve">Revisión de los criterios de admisión de tarjeta de crédito</w:t>
            </w:r>
          </w:p>
        </w:tc>
        <w:tc>
          <w:tcPr>
            <w:tcW w:type="dxa" w:w="22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left"/>
            </w:pPr>
            <w:r>
              <w:rPr>
                <w:rFonts w:ascii="Arial" w:cs="Arial" w:eastAsia="Arial" w:hAnsi="Arial"/>
                <w:color w:val="231E1F"/>
                <w:sz w:val="18"/>
                <w:szCs w:val="18"/>
              </w:rPr>
              <w:t xml:space="preserve">Políticas y Modelos de Riesgo</w:t>
            </w:r>
          </w:p>
        </w:tc>
        <w:tc>
          <w:tcPr>
            <w:tcW w:type="dxa" w:w="13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left"/>
            </w:pPr>
            <w:r>
              <w:rPr>
                <w:rFonts w:ascii="Arial" w:cs="Arial" w:eastAsia="Arial" w:hAnsi="Arial"/>
                <w:color w:val="231E1F"/>
                <w:sz w:val="18"/>
                <w:szCs w:val="18"/>
              </w:rPr>
              <w:t xml:space="preserve">30 sep 2026</w:t>
            </w:r>
          </w:p>
        </w:tc>
        <w:tc>
          <w:tcPr>
            <w:tcW w:type="dxa" w:w="21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jc w:val="left"/>
            </w:pPr>
            <w:r>
              <w:rPr>
                <w:rFonts w:ascii="Arial" w:cs="Arial" w:eastAsia="Arial" w:hAnsi="Arial"/>
                <w:color w:val="231E1F"/>
                <w:sz w:val="18"/>
                <w:szCs w:val="18"/>
              </w:rPr>
              <w:t xml:space="preserve">Cumplido: política v3.1 aprobada el 24 sep 2026</w:t>
            </w:r>
          </w:p>
        </w:tc>
      </w:tr>
      <w:tr>
        <w:trPr>
          <w:cantSplit/>
          <w:tblHeader w:val="false"/>
        </w:trPr>
        <w:tc>
          <w:tcPr>
            <w:tcW w:type="dxa" w:w="376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Plan para restablecer la cobertura de la cartera PYME</w:t>
            </w:r>
          </w:p>
        </w:tc>
        <w:tc>
          <w:tcPr>
            <w:tcW w:type="dxa" w:w="22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Riesgos Financieros</w:t>
            </w:r>
          </w:p>
        </w:tc>
        <w:tc>
          <w:tcPr>
            <w:tcW w:type="dxa" w:w="13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31 oct 2026</w:t>
            </w:r>
          </w:p>
        </w:tc>
        <w:tc>
          <w:tcPr>
            <w:tcW w:type="dxa" w:w="2100"/>
            <w:tcBorders>
              <w:top w:val="single" w:color="E3DCDC" w:sz="4"/>
              <w:left w:val="single" w:color="E3DCDC" w:sz="4"/>
              <w:bottom w:val="single" w:color="E3DCDC" w:sz="4"/>
              <w:right w:val="single" w:color="E3DCDC" w:sz="4"/>
            </w:tcBorders>
            <w:tcMar>
              <w:top w:type="dxa" w:w="70"/>
              <w:left w:type="dxa" w:w="110"/>
              <w:bottom w:type="dxa" w:w="70"/>
              <w:right w:type="dxa" w:w="110"/>
            </w:tcMar>
          </w:tcPr>
          <w:p>
            <w:pPr>
              <w:keepNext/>
              <w:jc w:val="left"/>
            </w:pPr>
            <w:r>
              <w:rPr>
                <w:rFonts w:ascii="Arial" w:cs="Arial" w:eastAsia="Arial" w:hAnsi="Arial"/>
                <w:color w:val="231E1F"/>
                <w:sz w:val="18"/>
                <w:szCs w:val="18"/>
              </w:rPr>
              <w:t xml:space="preserve">Pendiente</w:t>
            </w:r>
          </w:p>
        </w:tc>
      </w:tr>
      <w:tr>
        <w:trPr>
          <w:cantSplit/>
          <w:tblHeader w:val="false"/>
        </w:trPr>
        <w:tc>
          <w:tcPr>
            <w:tcW w:type="dxa" w:w="376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left"/>
            </w:pPr>
            <w:r>
              <w:rPr>
                <w:rFonts w:ascii="Arial" w:cs="Arial" w:eastAsia="Arial" w:hAnsi="Arial"/>
                <w:color w:val="231E1F"/>
                <w:sz w:val="18"/>
                <w:szCs w:val="18"/>
              </w:rPr>
              <w:t xml:space="preserve">Propuesta de ajuste de las reglas R01 y R04</w:t>
            </w:r>
          </w:p>
        </w:tc>
        <w:tc>
          <w:tcPr>
            <w:tcW w:type="dxa" w:w="22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left"/>
            </w:pPr>
            <w:r>
              <w:rPr>
                <w:rFonts w:ascii="Arial" w:cs="Arial" w:eastAsia="Arial" w:hAnsi="Arial"/>
                <w:color w:val="231E1F"/>
                <w:sz w:val="18"/>
                <w:szCs w:val="18"/>
              </w:rPr>
              <w:t xml:space="preserve">Analítica de Fraude</w:t>
            </w:r>
          </w:p>
        </w:tc>
        <w:tc>
          <w:tcPr>
            <w:tcW w:type="dxa" w:w="13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left"/>
            </w:pPr>
            <w:r>
              <w:rPr>
                <w:rFonts w:ascii="Arial" w:cs="Arial" w:eastAsia="Arial" w:hAnsi="Arial"/>
                <w:color w:val="231E1F"/>
                <w:sz w:val="18"/>
                <w:szCs w:val="18"/>
              </w:rPr>
              <w:t xml:space="preserve">20 oct 2026</w:t>
            </w:r>
          </w:p>
        </w:tc>
        <w:tc>
          <w:tcPr>
            <w:tcW w:type="dxa" w:w="2100"/>
            <w:tcBorders>
              <w:top w:val="single" w:color="E3DCDC" w:sz="4"/>
              <w:left w:val="single" w:color="E3DCDC" w:sz="4"/>
              <w:bottom w:val="single" w:color="E3DCDC" w:sz="4"/>
              <w:right w:val="single" w:color="E3DCDC" w:sz="4"/>
            </w:tcBorders>
            <w:shd w:fill="FBF6F6" w:color="auto" w:val="clear"/>
            <w:tcMar>
              <w:top w:type="dxa" w:w="70"/>
              <w:left w:type="dxa" w:w="110"/>
              <w:bottom w:type="dxa" w:w="70"/>
              <w:right w:type="dxa" w:w="110"/>
            </w:tcMar>
          </w:tcPr>
          <w:p>
            <w:pPr>
              <w:keepNext w:val="false"/>
              <w:jc w:val="left"/>
            </w:pPr>
            <w:r>
              <w:rPr>
                <w:rFonts w:ascii="Arial" w:cs="Arial" w:eastAsia="Arial" w:hAnsi="Arial"/>
                <w:color w:val="231E1F"/>
                <w:sz w:val="18"/>
                <w:szCs w:val="18"/>
              </w:rPr>
              <w:t xml:space="preserve">En proceso</w:t>
            </w:r>
          </w:p>
        </w:tc>
      </w:tr>
    </w:tbl>
    <w:p>
      <w:pPr>
        <w:spacing w:after="120"/>
      </w:pPr>
    </w:p>
    <w:p>
      <w:pPr>
        <w:pStyle w:val="Heading1"/>
        <w:keepNext/>
        <w:spacing w:after="120" w:before="300"/>
      </w:pPr>
      <w:r>
        <w:rPr>
          <w:rFonts w:ascii="Arial" w:cs="Arial" w:eastAsia="Arial" w:hAnsi="Arial"/>
          <w:b/>
          <w:bCs/>
          <w:color w:val="DC0C22"/>
          <w:sz w:val="26"/>
          <w:szCs w:val="26"/>
        </w:rPr>
        <w:t xml:space="preserve">8. Propuestas para decisión del Comité</w:t>
      </w:r>
    </w:p>
    <w:p>
      <w:pPr>
        <w:pStyle w:val="ListParagraph"/>
        <w:numPr>
          <w:ilvl w:val="0"/>
          <w:numId w:val="2"/>
        </w:numPr>
        <w:spacing w:after="80" w:line="290"/>
      </w:pPr>
      <w:r>
        <w:rPr>
          <w:rFonts w:ascii="Arial" w:cs="Arial" w:eastAsia="Arial" w:hAnsi="Arial"/>
          <w:color w:val="231E1F"/>
          <w:sz w:val="21"/>
          <w:szCs w:val="21"/>
        </w:rPr>
        <w:t xml:space="preserve">Aprobar el plan de 90 días para restablecer la cobertura de la cartera PYME al mínimo interno de 110%.</w:t>
      </w:r>
    </w:p>
    <w:p>
      <w:pPr>
        <w:pStyle w:val="ListParagraph"/>
        <w:numPr>
          <w:ilvl w:val="0"/>
          <w:numId w:val="2"/>
        </w:numPr>
        <w:spacing w:after="80" w:line="290"/>
      </w:pPr>
      <w:r>
        <w:rPr>
          <w:rFonts w:ascii="Arial" w:cs="Arial" w:eastAsia="Arial" w:hAnsi="Arial"/>
          <w:color w:val="231E1F"/>
          <w:sz w:val="21"/>
          <w:szCs w:val="21"/>
        </w:rPr>
        <w:t xml:space="preserve">Mantener el seguimiento semanal de la mora de tarjeta de crédito hasta que se ubique por debajo de 3.5%.</w:t>
      </w:r>
    </w:p>
    <w:p>
      <w:pPr>
        <w:pStyle w:val="ListParagraph"/>
        <w:numPr>
          <w:ilvl w:val="0"/>
          <w:numId w:val="2"/>
        </w:numPr>
        <w:spacing w:after="80" w:line="290"/>
      </w:pPr>
      <w:r>
        <w:rPr>
          <w:rFonts w:ascii="Arial" w:cs="Arial" w:eastAsia="Arial" w:hAnsi="Arial"/>
          <w:color w:val="231E1F"/>
          <w:sz w:val="21"/>
          <w:szCs w:val="21"/>
        </w:rPr>
        <w:t xml:space="preserve">Informar a la Junta Directiva sobre la situación de la cartera PYME y de la tarjeta de crédito en su próxima sesión.</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F6566"/>
        <w:sz w:val="16"/>
        <w:szCs w:val="16"/>
      </w:rPr>
      <w:t xml:space="preserve">Documento ficticio de capacitación · Página </w:t>
    </w:r>
    <w:r>
      <w:rPr>
        <w:rFonts w:ascii="Arial" w:cs="Arial" w:eastAsia="Arial" w:hAnsi="Arial"/>
        <w:color w:val="6F65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DCDC" w:sz="4" w:space="4"/>
      </w:pBdr>
    </w:pPr>
    <w:r>
      <w:rPr>
        <w:rFonts w:ascii="Arial" w:cs="Arial" w:eastAsia="Arial" w:hAnsi="Arial"/>
        <w:b/>
        <w:bCs/>
        <w:color w:val="231E1F"/>
        <w:sz w:val="16"/>
        <w:szCs w:val="16"/>
      </w:rPr>
      <w:t xml:space="preserve">Banco Atlántida El Salvador · Vicepresidencia Adjunta de Riesgos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perfil de riesgo · Septiembre 2026 (ficticio)</dc:title>
  <dc:creator>Curso de Riesgos · Documento ficticio</dc:creator>
  <cp:lastModifiedBy>Un-named</cp:lastModifiedBy>
  <cp:revision>1</cp:revision>
  <dcterms:created xsi:type="dcterms:W3CDTF">2026-10-01T20:56:36.908Z</dcterms:created>
  <dcterms:modified xsi:type="dcterms:W3CDTF">2026-10-01T20:56:36.908Z</dcterms:modified>
</cp:coreProperties>
</file>

<file path=docProps/custom.xml><?xml version="1.0" encoding="utf-8"?>
<Properties xmlns="http://schemas.openxmlformats.org/officeDocument/2006/custom-properties" xmlns:vt="http://schemas.openxmlformats.org/officeDocument/2006/docPropsVTypes"/>
</file>