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Índice y matriz de cobertura documental</w:t>
      </w:r>
    </w:p>
    <w:p>
      <w:pPr>
        <w:jc w:val="center"/>
      </w:pPr>
      <w:r>
        <w:rPr>
          <w:color w:val="5B6573"/>
          <w:sz w:val="24"/>
        </w:rPr>
        <w:t>Mapa de entregables, evidencias y pendientes de verificación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DOC-00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Este índice consolida la documentación requerida para HidroSmart y relaciona cada entregable con la pauta del Reporte Proyecto Formativo – código 2678382 – “DESARROLLO DE SOFTWARE ORIENTADO A SERVICIOS”. La carpeta de salida contiene versiones consolidadas elaboradas a partir del repositorio PT_HS y de la documentación local revisada. No reemplaza el código ni altera los archivos fuente.</w:t>
      </w: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Fuentes principales: PT_HS (rama hu-11-dev, corte b54732e), docs/estado-verificado-2026-09-26.md, documentación de BD/backend/firmware/frontend, PDF de pautas y documentos locales de Documentos por corregir. Los documentos históricos o con afirmaciones no demostradas se tratan como antecedentes, no como fuente de verdad.</w:t>
      </w:r>
    </w:p>
    <w:p>
      <w:pPr>
        <w:pStyle w:val="Heading1"/>
      </w:pPr>
      <w:r>
        <w:t>2. Inventario de la entrega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936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74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Documento generado</w:t>
            </w:r>
          </w:p>
        </w:tc>
        <w:tc>
          <w:tcPr>
            <w:tcW w:type="dxa" w:w="547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Solicitud atendida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DOC-00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Índice y matriz de cobertura documental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Trazabilidad general y control de fuentes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DOC-01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Especificación de requisitos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Informe de especificación de requisitos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DOC-02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Análisis y vistas dinámicas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Documentación de análisis del software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DOC-03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Propuesta técnica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Documentación de propuesta técnica del software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DOC-04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Diseño de software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Interfaces, arquitectura, patrones y modelo de datos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DOC-05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Diccionario y modelo de datos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Modelo/diccionario de datos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DOC-06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Implementación y operación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Procedimiento de implementación del software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DOC-07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Plan y reporte de pruebas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Documentación de pruebas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DOC-08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técnico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técnico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DOC-09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de instalación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de instalación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DOC-10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de usuario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de usuario final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DOC-11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Acciones correctivas, preventivas y de mejora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Mejoramiento del software</w:t>
            </w:r>
          </w:p>
        </w:tc>
      </w:tr>
      <w:tr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DOC-12</w:t>
            </w:r>
          </w:p>
        </w:tc>
        <w:tc>
          <w:tcPr>
            <w:tcW w:type="dxa" w:w="37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Artículo del proyecto</w:t>
            </w:r>
          </w:p>
        </w:tc>
        <w:tc>
          <w:tcPr>
            <w:tcW w:type="dxa" w:w="547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Artículo del proyecto</w:t>
            </w:r>
          </w:p>
        </w:tc>
      </w:tr>
    </w:tbl>
    <w:p>
      <w:pPr>
        <w:spacing w:after="20"/>
      </w:pPr>
    </w:p>
    <w:p>
      <w:pPr>
        <w:pStyle w:val="Heading1"/>
      </w:pPr>
      <w:r>
        <w:t>3. Matriz de cobertura de la pauta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Requisito del PDF</w:t>
            </w:r>
          </w:p>
        </w:tc>
        <w:tc>
          <w:tcPr>
            <w:tcW w:type="dxa" w:w="2736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Documento(s) de salida</w:t>
            </w:r>
          </w:p>
        </w:tc>
        <w:tc>
          <w:tcPr>
            <w:tcW w:type="dxa" w:w="4536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Cobertura / observación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Especificación de requisitos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DOC-01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Requisitos funcionales y no funcionales depurados; alcance real de web, móvil, API, BD, MQTT y firmware.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Análisis: vistas dinámicas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DOC-02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Actores, casos de uso, flujos de autenticación, telemetría, alertas y administración.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Propuesta técnica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DOC-03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Alcance, arquitectura, tecnologías, recursos, riesgos y criterios de aceptación.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Diseño: interfaces y arquitectura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DOC-04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UI, arquitectura hexagonal/por capas, integración, seguridad y patrones sustentados.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Diseño: modelo de datos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DOC-05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Esquemas PostgreSQL, dominios, roles, RLS, migraciones y contrato de ingestión.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Artefactos de código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DOC-01, DOC-04, DOC-08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 documenta la ubicación de artefactos existentes; el código permanece en PT_HS y no se copia ni modifica.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Pruebas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DOC-07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Resultados documentados al 2026-09-26 y pendientes explícitos; no se presentan como ejecución nueva.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Implementación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DOC-06 y DOC-09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Flujo Docker/Liquibase/backend/frontend/MQTT y ruta de firmware.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Acciones de mejora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DOC-11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Backlog priorizado basado en brechas documentadas.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Manuales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DOC-08, DOC-09, DOC-10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Manual técnico, instalación y operación de usuario.</w:t>
            </w:r>
          </w:p>
        </w:tc>
      </w:tr>
      <w:tr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Artículo</w:t>
            </w:r>
          </w:p>
        </w:tc>
        <w:tc>
          <w:tcPr>
            <w:tcW w:type="dxa" w:w="27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DOC-12</w:t>
            </w:r>
          </w:p>
        </w:tc>
        <w:tc>
          <w:tcPr>
            <w:tcW w:type="dxa" w:w="45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Artículo técnico con metodología, resultados, limitaciones y referencias.</w:t>
            </w:r>
          </w:p>
        </w:tc>
      </w:tr>
    </w:tbl>
    <w:p>
      <w:pPr>
        <w:spacing w:after="20"/>
      </w:pPr>
    </w:p>
    <w:p>
      <w:pPr>
        <w:pStyle w:val="Heading1"/>
      </w:pPr>
      <w:r>
        <w:t>4. Matriz de evidencia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46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Evidencia consultada</w:t>
            </w:r>
          </w:p>
        </w:tc>
        <w:tc>
          <w:tcPr>
            <w:tcW w:type="dxa" w:w="3960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Uso documental</w:t>
            </w:r>
          </w:p>
        </w:tc>
      </w:tr>
      <w:tr>
        <w:tc>
          <w:tcPr>
            <w:tcW w:type="dxa" w:w="172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Sistema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README.md, docker-compose.yml, docs/README.md</w:t>
            </w:r>
          </w:p>
        </w:tc>
        <w:tc>
          <w:tcPr>
            <w:tcW w:type="dxa" w:w="396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Alcance, servicios, orden de confiabilidad y ejecución local.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Base de datos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BD_HS/docs/README.md y changelogs SQL/Liquibase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PostgreSQL 16, 245 changesets, 58 tablas de aplicación, dominios y roles.</w:t>
            </w:r>
          </w:p>
        </w:tc>
      </w:tr>
      <w:tr>
        <w:tc>
          <w:tcPr>
            <w:tcW w:type="dxa" w:w="172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BK_HS/docs/00-estado-actual.md, 14-mqtt-protocol.md y código</w:t>
            </w:r>
          </w:p>
        </w:tc>
        <w:tc>
          <w:tcPr>
            <w:tcW w:type="dxa" w:w="396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API REST, seguridad, casos de uso, MQTT e ingestión.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Frontend/móvil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FT_HS/frontend/package.json, src y documentación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React/Vite, TypeScript, WebView móvil y puente BLE.</w:t>
            </w:r>
          </w:p>
        </w:tc>
      </w:tr>
      <w:tr>
        <w:tc>
          <w:tcPr>
            <w:tcW w:type="dxa" w:w="172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Firmware</w:t>
            </w:r>
          </w:p>
        </w:tc>
        <w:tc>
          <w:tcPr>
            <w:tcW w:type="dxa" w:w="446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firmware/README.md, platformio.ini y src</w:t>
            </w:r>
          </w:p>
        </w:tc>
        <w:tc>
          <w:tcPr>
            <w:tcW w:type="dxa" w:w="396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ESP32, Wi-Fi, BLE, MQTT, sensor, actuadores y OTA.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docs/estado-verificado-2026-09-26.md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Último corte de evidencia funcional identificado.</w:t>
            </w:r>
          </w:p>
        </w:tc>
      </w:tr>
    </w:tbl>
    <w:p>
      <w:pPr>
        <w:spacing w:after="20"/>
      </w:pPr>
    </w:p>
    <w:p>
      <w:pPr>
        <w:pStyle w:val="Heading1"/>
      </w:pPr>
      <w:r>
        <w:t>5. Discrepancias y pendientes de control</w:t>
      </w:r>
    </w:p>
    <w:p>
      <w:pPr>
        <w:pStyle w:val="ListBullet"/>
        <w:spacing w:after="40"/>
      </w:pPr>
      <w:r>
        <w:t>El PDF identifica el proyecto con código 2678382 y el programa 228118; algunos documentos locales mencionan ficha 3145555 y año 2025. No se sustituyeron datos institucionales sin evidencia; deben confirmarse antes de radicar.</w:t>
      </w:r>
    </w:p>
    <w:p>
      <w:pPr>
        <w:pStyle w:val="ListBullet"/>
        <w:spacing w:after="40"/>
      </w:pPr>
      <w:r>
        <w:t>Los documentos del 2026-09-23 registran 239 changesets y 172 pruebas unitarias; el corte posterior del 2026-09-26 registra 245 changesets y 174 pruebas. Se conserva la fecha de cada evidencia y se usa el corte posterior como referencia operativa.</w:t>
      </w:r>
    </w:p>
    <w:p>
      <w:pPr>
        <w:pStyle w:val="ListBullet"/>
        <w:spacing w:after="40"/>
      </w:pPr>
      <w:r>
        <w:t>No se comprobó acceso al enlace de Google Drive. La revisión se basó en los archivos locales; la ausencia en la carpeta local no se afirma como ausencia definitiva en Drive.</w:t>
      </w:r>
    </w:p>
    <w:p>
      <w:pPr>
        <w:pStyle w:val="ListBullet"/>
        <w:spacing w:after="40"/>
      </w:pPr>
      <w:r>
        <w:t>No se encontró en la carpeta local un manual formal, un reporte de pruebas formal, un procedimiento de implementación, un documento de mejora o un artículo con esos nombres; por ello se generaron los documentos consolidados correspondientes.</w:t>
      </w:r>
    </w:p>
    <w:p>
      <w:pPr>
        <w:pStyle w:val="ListBullet"/>
        <w:spacing w:after="40"/>
      </w:pPr>
      <w:r>
        <w:t>Las menciones históricas a AWS, Firebase, Redis, WebSockets, costos o funcionalidades no demostradas en el estado actual no se presentan como características implementadas.</w:t>
      </w:r>
    </w:p>
    <w:p>
      <w:pPr>
        <w:pStyle w:val="Heading1"/>
      </w:pPr>
      <w:r>
        <w:t>6. Regla de mantenimiento</w:t>
      </w:r>
    </w:p>
    <w:p>
      <w:r>
        <w:t>Los documentos de esta carpeta son una entrega consolidada. Para futuros cambios se debe actualizar primero la evidencia del repositorio, después la matriz DOC-00 y finalmente los documentos afectados, conservando fecha de corte, fuente y estado de verificación.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p>
      <w:r>
        <w:br w:type="page"/>
      </w:r>
    </w:p>
    <w:p>
      <w:pPr>
        <w:pStyle w:val="Heading1"/>
      </w:pPr>
      <w:r>
        <w:t>7. Clasificación de documentos originales</w:t>
      </w:r>
    </w:p>
    <w:p>
      <w:r>
        <w:t>La clasificación se realizó por contenido y evidencia, no solamente por nombre. Los archivos originales permanecen en Documentos por corregir; los documentos de salida siguientes son las versiones consolidadas.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Entregable / fuente original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</w:rPr>
              <w:t>Salida consolidada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SRS v1.1.docx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DOC-01: actualización localizada sobre el documento completo + anexos.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de Software v1.2.docx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DOC-04: conserva capítulos, tablas y diagramas + reconciliación técnica.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Diseño conceptual y arquitectura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DOC-02: conserva navegación y añade vistas dinámicas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Informe técnico/económico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DOC-03: conserva contenido y cifras como estimaciones, actualiza stack.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Diccionario de Datos.docx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 pero desactualizado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DOC-05: conserva modelo conceptual + anexo de esquemas actuales.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Diagramas, actas, cuestionarios y prototipos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Existentes; vigencia individual variable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Se usan como evidencia y deben actualizarse gráficamente en una siguiente revisión si cambian los contratos.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Pruebas formales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DOC-07 creado con evidencia disponible y plan de cierre.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Implementación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DOC-06 y DOC-09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Acciones de mejora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Inexistente/incompleto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DOC-11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Manuales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Inexistentes como paquete formal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DOC-08, DOC-09 y DOC-10 creados.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Artículo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Inexistente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DOC-12 creado.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Artefactos de código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Existentes en PT_HS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Referenciados; no se copian ni modifican para no duplicar el repositorio.</w:t>
            </w:r>
          </w:p>
        </w:tc>
      </w:tr>
    </w:tbl>
    <w:p/>
    <w:p>
      <w:pPr>
        <w:pStyle w:val="Heading1"/>
      </w:pPr>
      <w:r>
        <w:t>8. Control de integridad de la entrega</w:t>
      </w:r>
    </w:p>
    <w:p>
      <w:pPr>
        <w:pStyle w:val="ListBullet"/>
        <w:spacing w:after="40"/>
      </w:pPr>
      <w:r>
        <w:t>La entrega final contiene 13 DOCX sin archivos temporales.</w:t>
      </w:r>
    </w:p>
    <w:p>
      <w:pPr>
        <w:pStyle w:val="ListBullet"/>
        <w:spacing w:after="40"/>
      </w:pPr>
      <w:r>
        <w:t>DOC-01, DOC-02, DOC-03, DOC-04 y DOC-05 conservan documentos originales amplios y anexan la actualización.</w:t>
      </w:r>
    </w:p>
    <w:p>
      <w:pPr>
        <w:pStyle w:val="ListBullet"/>
        <w:spacing w:after="40"/>
      </w:pPr>
      <w:r>
        <w:t>DOC-06 a DOC-12 cubren entregables creados o formalizados por ausencia/incompletitud local.</w:t>
      </w:r>
    </w:p>
    <w:p>
      <w:pPr>
        <w:pStyle w:val="ListBullet"/>
        <w:spacing w:after="40"/>
      </w:pPr>
      <w:r>
        <w:t>Todo dato no verificable se identifica como pendiente, histórico, estimación o alternativa futura.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DOC-00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