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67C80"/>
          <w:sz w:val="28"/>
        </w:rPr>
        <w:t>HIDROSMART</w:t>
      </w:r>
    </w:p>
    <w:p>
      <w:pPr>
        <w:pStyle w:val="Title"/>
        <w:jc w:val="center"/>
      </w:pPr>
      <w:r>
        <w:t>Procedimiento de implementación y operación de HidroSmart</w:t>
      </w:r>
    </w:p>
    <w:p>
      <w:pPr>
        <w:jc w:val="center"/>
      </w:pPr>
      <w:r>
        <w:rPr>
          <w:color w:val="5B6573"/>
          <w:sz w:val="24"/>
        </w:rPr>
        <w:t>Ejecución local reproducible y controles de puesta en marcha</w:t>
      </w:r>
    </w:p>
    <w:p>
      <w:pPr>
        <w:jc w:val="center"/>
      </w:pPr>
      <w:r>
        <w:rPr>
          <w:color w:val="5B6573"/>
          <w:sz w:val="20"/>
        </w:rPr>
        <w:t>Versión documental consolidada 1.0</w:t>
        <w:br/>
        <w:t>Fecha de corte: 2026-10-09</w:t>
        <w:br/>
        <w:t>Código documental: DOC-06</w:t>
      </w:r>
    </w:p>
    <w:p>
      <w:r>
        <w:br w:type="page"/>
      </w:r>
    </w:p>
    <w:p>
      <w:pPr>
        <w:pStyle w:val="Heading1"/>
      </w:pPr>
      <w:r>
        <w:t>1. Precondiciones</w:t>
      </w:r>
    </w:p>
    <w:p>
      <w:pPr>
        <w:pStyle w:val="ListBullet"/>
        <w:spacing w:after="40"/>
      </w:pPr>
      <w:r>
        <w:t>Clonar o disponer del repositorio PT_HS sin modificar la rama fuente.</w:t>
      </w:r>
    </w:p>
    <w:p>
      <w:pPr>
        <w:pStyle w:val="ListBullet"/>
        <w:spacing w:after="40"/>
      </w:pPr>
      <w:r>
        <w:t>Instalar Docker/Docker Compose; Node/npm y PlatformIO son necesarios para tareas fuera de contenedores.</w:t>
      </w:r>
    </w:p>
    <w:p>
      <w:pPr>
        <w:pStyle w:val="ListBullet"/>
        <w:spacing w:after="40"/>
      </w:pPr>
      <w:r>
        <w:t>Disponer de variables de entorno a partir de los ejemplos del repositorio; nunca copiar secretos reales a Git.</w:t>
      </w:r>
    </w:p>
    <w:p>
      <w:pPr>
        <w:pStyle w:val="ListBullet"/>
        <w:spacing w:after="40"/>
      </w:pPr>
      <w:r>
        <w:t>Para pruebas físicas: ESP32, sensor, alimentación, red Wi-Fi y development build móvil si se usa BLE.</w:t>
      </w:r>
    </w:p>
    <w:p>
      <w:pPr>
        <w:pStyle w:val="Heading1"/>
      </w:pPr>
      <w:r>
        <w:t>2. Flujo de implementación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Paso</w:t>
            </w:r>
          </w:p>
        </w:tc>
        <w:tc>
          <w:tcPr>
            <w:tcW w:type="dxa" w:w="3312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3312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Resultado esperado</w:t>
            </w:r>
          </w:p>
        </w:tc>
      </w:tr>
      <w:tr>
        <w:tc>
          <w:tcPr>
            <w:tcW w:type="dxa" w:w="331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31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Revisar rama, README, .env.example y puertos.</w:t>
            </w:r>
          </w:p>
        </w:tc>
        <w:tc>
          <w:tcPr>
            <w:tcW w:type="dxa" w:w="331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Ambiente identificado sin secretos expuestos.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Preparar variables para BD, backend, frontend y MQTT.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Servicios pueden resolver nombres y credenciales locales.</w:t>
            </w:r>
          </w:p>
        </w:tc>
      </w:tr>
      <w:tr>
        <w:tc>
          <w:tcPr>
            <w:tcW w:type="dxa" w:w="331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31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Levantar PostgreSQL, broker, backend y frontend mediante docker compose.</w:t>
            </w:r>
          </w:p>
        </w:tc>
        <w:tc>
          <w:tcPr>
            <w:tcW w:type="dxa" w:w="331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Servicios en ejecución; verificar logs.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Ejecutar db-bootstrap/Liquibase conforme al compose.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Changelog actualizado y BD lista.</w:t>
            </w:r>
          </w:p>
        </w:tc>
      </w:tr>
      <w:tr>
        <w:tc>
          <w:tcPr>
            <w:tcW w:type="dxa" w:w="331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31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Comprobar API /api/v1 y frontend en puerto 5173.</w:t>
            </w:r>
          </w:p>
        </w:tc>
        <w:tc>
          <w:tcPr>
            <w:tcW w:type="dxa" w:w="331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HTTP y aplicación responden.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Publicar/recibir un mensaje MQTT de prueba controlado.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Ingestión valida y registra o rechaza de forma trazable.</w:t>
            </w:r>
          </w:p>
        </w:tc>
      </w:tr>
      <w:tr>
        <w:tc>
          <w:tcPr>
            <w:tcW w:type="dxa" w:w="331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331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Construir/cargar firmware PlatformIO y aprovisionar BLE.</w:t>
            </w:r>
          </w:p>
        </w:tc>
        <w:tc>
          <w:tcPr>
            <w:tcW w:type="dxa" w:w="331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ESP32 conecta a Wi-Fi/MQTT y publica estado.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Ejecutar pruebas del DOC-07 y guardar evidencia fechada.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Criterios aceptados o incidencias abiertas.</w:t>
            </w:r>
          </w:p>
        </w:tc>
      </w:tr>
    </w:tbl>
    <w:p>
      <w:pPr>
        <w:spacing w:after="20"/>
      </w:pPr>
    </w:p>
    <w:p>
      <w:pPr>
        <w:pStyle w:val="Heading1"/>
      </w:pPr>
      <w:r>
        <w:t>3. Orden recomendado de verificación</w:t>
      </w:r>
    </w:p>
    <w:p>
      <w:pPr>
        <w:pStyle w:val="ListNumber"/>
        <w:spacing w:after="40"/>
      </w:pPr>
      <w:r>
        <w:t>Contenedores y puertos.</w:t>
      </w:r>
    </w:p>
    <w:p>
      <w:pPr>
        <w:pStyle w:val="ListNumber"/>
        <w:spacing w:after="40"/>
      </w:pPr>
      <w:r>
        <w:t>Liquibase status/validate y estado de migraciones.</w:t>
      </w:r>
    </w:p>
    <w:p>
      <w:pPr>
        <w:pStyle w:val="ListNumber"/>
        <w:spacing w:after="40"/>
      </w:pPr>
      <w:r>
        <w:t>Conectividad del backend con BD.</w:t>
      </w:r>
    </w:p>
    <w:p>
      <w:pPr>
        <w:pStyle w:val="ListNumber"/>
        <w:spacing w:after="40"/>
      </w:pPr>
      <w:r>
        <w:t>Conectividad del backend con broker.</w:t>
      </w:r>
    </w:p>
    <w:p>
      <w:pPr>
        <w:pStyle w:val="ListNumber"/>
        <w:spacing w:after="40"/>
      </w:pPr>
      <w:r>
        <w:t>Rutas de autenticación y usuario de prueba.</w:t>
      </w:r>
    </w:p>
    <w:p>
      <w:pPr>
        <w:pStyle w:val="ListNumber"/>
        <w:spacing w:after="40"/>
      </w:pPr>
      <w:r>
        <w:t>Ingreso MQTT con mensaje válido, inválido y duplicado.</w:t>
      </w:r>
    </w:p>
    <w:p>
      <w:pPr>
        <w:pStyle w:val="ListNumber"/>
        <w:spacing w:after="40"/>
      </w:pPr>
      <w:r>
        <w:t>Consulta de lectura desde frontend.</w:t>
      </w:r>
    </w:p>
    <w:p>
      <w:pPr>
        <w:pStyle w:val="ListNumber"/>
        <w:spacing w:after="40"/>
      </w:pPr>
      <w:r>
        <w:t>Firmware y prueba física, si aplica.</w:t>
      </w:r>
    </w:p>
    <w:p>
      <w:pPr>
        <w:pStyle w:val="Heading1"/>
      </w:pPr>
      <w:r>
        <w:t>4. Firmware y aprovisionamiento</w:t>
      </w:r>
    </w:p>
    <w:p>
      <w:r>
        <w:t>El firmware se gestiona con PlatformIO, entorno esp32dev, framework Arduino y monitor a 115200. El flujo BLE guarda SSID, contraseña, host, puerto y deviceCode en NVS; puede conservar hasta cinco perfiles. El hardwareId se deriva del eFuse y puede actuar como código por defecto. El móvil requiere development build para react-native-ble-plx.</w:t>
      </w:r>
    </w:p>
    <w:p>
      <w:pPr>
        <w:pStyle w:val="Heading1"/>
      </w:pPr>
      <w:r>
        <w:t>5. Detención, actualización y rollback</w:t>
      </w:r>
    </w:p>
    <w:p>
      <w:pPr>
        <w:pStyle w:val="ListBullet"/>
        <w:spacing w:after="40"/>
      </w:pPr>
      <w:r>
        <w:t>Antes de actualizar migraciones o imágenes, registrar commit, fecha, variables y estado de la BD.</w:t>
      </w:r>
    </w:p>
    <w:p>
      <w:pPr>
        <w:pStyle w:val="ListBullet"/>
        <w:spacing w:after="40"/>
      </w:pPr>
      <w:r>
        <w:t>Tomar backup y comprobar restauración antes de cambios destructivos.</w:t>
      </w:r>
    </w:p>
    <w:p>
      <w:pPr>
        <w:pStyle w:val="ListBullet"/>
        <w:spacing w:after="40"/>
      </w:pPr>
      <w:r>
        <w:t>Aplicar migraciones de forma ordenada; no editar manualmente la base para “hacer coincidir” diagramas.</w:t>
      </w:r>
    </w:p>
    <w:p>
      <w:pPr>
        <w:pStyle w:val="ListBullet"/>
        <w:spacing w:after="40"/>
      </w:pPr>
      <w:r>
        <w:t>Si una verificación falla, detener la liberación, conservar logs y volver a la versión previamente validada según el procedimiento del entorno.</w:t>
      </w:r>
    </w:p>
    <w:p>
      <w:pPr>
        <w:pStyle w:val="ListBullet"/>
        <w:spacing w:after="40"/>
      </w:pPr>
      <w:r>
        <w:t>No existe en el material revisado una prueba completa de backup/restore; queda como requisito de cierre.</w:t>
      </w:r>
    </w:p>
    <w:p>
      <w:pPr>
        <w:pStyle w:val="Heading1"/>
      </w:pPr>
      <w:r>
        <w:t>6. Producción: controles obligatorios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3312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Estado en corte</w:t>
            </w:r>
          </w:p>
        </w:tc>
        <w:tc>
          <w:tcPr>
            <w:tcW w:type="dxa" w:w="3312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Acción antes de producción</w:t>
            </w:r>
          </w:p>
        </w:tc>
      </w:tr>
      <w:tr>
        <w:tc>
          <w:tcPr>
            <w:tcW w:type="dxa" w:w="331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MQTT TLS/ACL</w:t>
            </w:r>
          </w:p>
        </w:tc>
        <w:tc>
          <w:tcPr>
            <w:tcW w:type="dxa" w:w="331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Pendiente; local anónimo sin TLS.</w:t>
            </w:r>
          </w:p>
        </w:tc>
        <w:tc>
          <w:tcPr>
            <w:tcW w:type="dxa" w:w="331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Configurar certificados, ACL, autenticación y rotación.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Secretos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Variables previstas; valores reales no documentados.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Usar gestor seguro y rotación.</w:t>
            </w:r>
          </w:p>
        </w:tc>
      </w:tr>
      <w:tr>
        <w:tc>
          <w:tcPr>
            <w:tcW w:type="dxa" w:w="331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Backups</w:t>
            </w:r>
          </w:p>
        </w:tc>
        <w:tc>
          <w:tcPr>
            <w:tcW w:type="dxa" w:w="331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No verificado end-to-end.</w:t>
            </w:r>
          </w:p>
        </w:tc>
        <w:tc>
          <w:tcPr>
            <w:tcW w:type="dxa" w:w="331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Probar backup, restore y RPO/RTO.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SMTP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Credenciales reales no verificadas.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Configurar y probar correo/alertas.</w:t>
            </w:r>
          </w:p>
        </w:tc>
      </w:tr>
      <w:tr>
        <w:tc>
          <w:tcPr>
            <w:tcW w:type="dxa" w:w="331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Observabilidad</w:t>
            </w:r>
          </w:p>
        </w:tc>
        <w:tc>
          <w:tcPr>
            <w:tcW w:type="dxa" w:w="331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Logs disponibles; SLA no fijado.</w:t>
            </w:r>
          </w:p>
        </w:tc>
        <w:tc>
          <w:tcPr>
            <w:tcW w:type="dxa" w:w="331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Definir métricas, alarmas y retención.</w:t>
            </w:r>
          </w:p>
        </w:tc>
      </w:tr>
    </w:tbl>
    <w:p>
      <w:pPr>
        <w:spacing w:after="20"/>
      </w:pPr>
    </w:p>
    <w:p>
      <w:pPr>
        <w:spacing w:before="80" w:after="160"/>
        <w:ind w:left="216" w:right="216"/>
      </w:pPr>
      <w:r>
        <w:rPr>
          <w:b/>
          <w:color w:val="167C80"/>
        </w:rPr>
        <w:t xml:space="preserve">Nota de control documental. </w:t>
      </w:r>
      <w:r>
        <w:t>Este procedimiento describe una ruta operativa basada en docker-compose.yml, README y docs del repositorio. Los comandos exactos pueden variar con el entorno; el operador debe revisar los scripts vigentes antes de ejecutar acciones sobre datos.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color w:val="5B6573"/>
        <w:sz w:val="16"/>
      </w:rPr>
      <w:t xml:space="preserve">HidroSmart | DOC-06 | Versión documental consolidada 1.0 | Página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5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67C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67C8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