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7C80"/>
          <w:sz w:val="28"/>
        </w:rPr>
        <w:t>HIDROSMART</w:t>
      </w:r>
    </w:p>
    <w:p>
      <w:pPr>
        <w:pStyle w:val="Title"/>
        <w:jc w:val="center"/>
      </w:pPr>
      <w:r>
        <w:t>Manual técnico de HidroSmart</w:t>
      </w:r>
    </w:p>
    <w:p>
      <w:pPr>
        <w:jc w:val="center"/>
      </w:pPr>
      <w:r>
        <w:rPr>
          <w:color w:val="5B6573"/>
          <w:sz w:val="24"/>
        </w:rPr>
        <w:t>Referencia para desarrollo, integración y soporte técnico</w:t>
      </w:r>
    </w:p>
    <w:p>
      <w:pPr>
        <w:jc w:val="center"/>
      </w:pPr>
      <w:r>
        <w:rPr>
          <w:color w:val="5B6573"/>
          <w:sz w:val="20"/>
        </w:rPr>
        <w:t>Versión documental consolidada 1.0</w:t>
        <w:br/>
        <w:t>Fecha de corte: 2026-10-09</w:t>
        <w:br/>
        <w:t>Código documental: DOC-08</w:t>
      </w:r>
    </w:p>
    <w:p>
      <w:r>
        <w:br w:type="page"/>
      </w:r>
    </w:p>
    <w:p>
      <w:pPr>
        <w:pStyle w:val="Heading1"/>
      </w:pPr>
      <w:r>
        <w:t>Ampliación de alcance técnico</w:t>
      </w:r>
    </w:p>
    <w:p>
      <w:pPr>
        <w:spacing w:after="160"/>
      </w:pPr>
      <w:r>
        <w:t>Esta ampliación desarrolla el manual a partir del repositorio PT_HS y de sus documentos técnicos. Las instrucciones distinguen el ambiente local comprobado de las condiciones de producción aún pendientes. Las rutas, nombres de servicios, topics y variables se escriben tal como aparecen en las fuentes revisadas.</w:t>
      </w:r>
    </w:p>
    <w:p>
      <w:pPr>
        <w:pStyle w:val="Heading1"/>
      </w:pPr>
      <w:r>
        <w:t>1. Mapa del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Contenido técnico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BD_HS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PostgreSQL/Liquibase, changelogs, roles, scripts y documentación de datos.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BK_HS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Backend Node/Express, API, dominio, infraestructura, MQTT, jobs y pruebas.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FT_HS/frontend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React/Vite/TypeScript, features, UI, móvil WebView y puente BLE.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firmware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PlatformIO/ESP32: provisioning, Wi-Fi, MQTT, sensores, actuadores, OTA y tests.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docs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Estado, integración, IoT, ejecución local y validación.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scripts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Validación integral y automatización del proyecto.</w:t>
            </w:r>
          </w:p>
        </w:tc>
      </w:tr>
    </w:tbl>
    <w:p>
      <w:pPr>
        <w:spacing w:after="20"/>
      </w:pPr>
    </w:p>
    <w:p>
      <w:pPr>
        <w:pStyle w:val="Heading1"/>
      </w:pPr>
      <w:r>
        <w:t>2. Contrato MQTT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Dirección/tópico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QoS/retain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ESP32 → backend /telemetry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QoS 1 / no retain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flowRateLpm, consumptionLiters; opcional totalLiters, pulses, mqttMessageId, timestamp, RSSI.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ESP32 → backend /status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QoS 1 / retain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ONLINE/OFFLINE/ERROR, hardwareId, provisioningState, firmwareVersion, red y timestamp.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Backend → ESP32 /config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QoS 1 según uso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Configuración soportada por contrato.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Backend → actuador /command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QoS 1 / no retain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Comando de válvula o bomba.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ESP32 → actuador /status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QoS 1 / retain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Estado del actuador.</w:t>
            </w:r>
          </w:p>
        </w:tc>
      </w:tr>
    </w:tbl>
    <w:p>
      <w:pPr>
        <w:spacing w:after="20"/>
      </w:pPr>
    </w:p>
    <w:p>
      <w:pPr>
        <w:pStyle w:val="Heading1"/>
      </w:pPr>
      <w:r>
        <w:t>3. Flujo de ingestión</w:t>
      </w:r>
    </w:p>
    <w:p>
      <w:pPr>
        <w:pStyle w:val="ListNumber"/>
        <w:spacing w:after="40"/>
      </w:pPr>
      <w:r>
        <w:t>MqttSubscriber mantiene suscripción.</w:t>
      </w:r>
    </w:p>
    <w:p>
      <w:pPr>
        <w:pStyle w:val="ListNumber"/>
        <w:spacing w:after="40"/>
      </w:pPr>
      <w:r>
        <w:t>Parser convierte payload a estructura interna.</w:t>
      </w:r>
    </w:p>
    <w:p>
      <w:pPr>
        <w:pStyle w:val="ListNumber"/>
        <w:spacing w:after="40"/>
      </w:pPr>
      <w:r>
        <w:t>Handler y caso IngestReading aplican validación y reglas.</w:t>
      </w:r>
    </w:p>
    <w:p>
      <w:pPr>
        <w:pStyle w:val="ListNumber"/>
        <w:spacing w:after="40"/>
      </w:pPr>
      <w:r>
        <w:t>Repositorio persiste en PostgreSQL con idempotencia.</w:t>
      </w:r>
    </w:p>
    <w:p>
      <w:pPr>
        <w:pStyle w:val="ListNumber"/>
        <w:spacing w:after="40"/>
      </w:pPr>
      <w:r>
        <w:t>La consulta REST entrega lecturas/agregados al frontend.</w:t>
      </w:r>
    </w:p>
    <w:p>
      <w:pPr>
        <w:pStyle w:val="ListNumber"/>
        <w:spacing w:after="40"/>
      </w:pPr>
      <w:r>
        <w:t>Los errores deben ser observables y no deben producir lecturas parciales.</w:t>
      </w:r>
    </w:p>
    <w:p>
      <w:pPr>
        <w:pStyle w:val="Heading1"/>
      </w:pPr>
      <w:r>
        <w:t>4. API y seguridad</w:t>
      </w:r>
    </w:p>
    <w:p>
      <w:r>
        <w:t>La API usa el prefijo /api/v1 y agrupa autenticación, hogares, dispositivos, consumo, usuarios, tarifas, alertas, metas, vacaciones, roles, soporte, auditoría, privacidad, reportes y recomendaciones. Las rutas protegidas requieren Bearer/JWT; la renovación se limita al flujo descrito en la documentación del backend. Los nombres exactos de endpoints y payloads deben consultarse en el código antes de integrar un cliente nuevo.</w:t>
      </w:r>
    </w:p>
    <w:p>
      <w:pPr>
        <w:pStyle w:val="Heading1"/>
      </w:pPr>
      <w:r>
        <w:t>5. Firmware</w:t>
      </w:r>
    </w:p>
    <w:p>
      <w:pPr>
        <w:pStyle w:val="ListBullet"/>
        <w:spacing w:after="40"/>
      </w:pPr>
      <w:r>
        <w:t>Entorno PlatformIO esp32dev, Arduino framework, monitor 115200.</w:t>
      </w:r>
    </w:p>
    <w:p>
      <w:pPr>
        <w:pStyle w:val="ListBullet"/>
        <w:spacing w:after="40"/>
      </w:pPr>
      <w:r>
        <w:t>Sensor observado: YF-S201 en GPIO 27 en el corte documentado.</w:t>
      </w:r>
    </w:p>
    <w:p>
      <w:pPr>
        <w:pStyle w:val="ListBullet"/>
        <w:spacing w:after="40"/>
      </w:pPr>
      <w:r>
        <w:t>BLE guarda SSID, contraseña, host, puerto y deviceCode en NVS.</w:t>
      </w:r>
    </w:p>
    <w:p>
      <w:pPr>
        <w:pStyle w:val="ListBullet"/>
        <w:spacing w:after="40"/>
      </w:pPr>
      <w:r>
        <w:t>HardwareId estable se deriva de eFuse; el código puede usarlo por defecto.</w:t>
      </w:r>
    </w:p>
    <w:p>
      <w:pPr>
        <w:pStyle w:val="ListBullet"/>
        <w:spacing w:after="40"/>
      </w:pPr>
      <w:r>
        <w:t>BLE local no tiene pairing/PIN de producción; debe endurecerse antes de despliegue real.</w:t>
      </w:r>
    </w:p>
    <w:p>
      <w:pPr>
        <w:pStyle w:val="ListBullet"/>
        <w:spacing w:after="40"/>
      </w:pPr>
      <w:r>
        <w:t>No introducir credenciales Wi-Fi/MQTT en el repositorio.</w:t>
      </w:r>
    </w:p>
    <w:p>
      <w:pPr>
        <w:pStyle w:val="Heading1"/>
      </w:pPr>
      <w:r>
        <w:t>6. Diagnóstico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Puntos de revisión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Frontend no carga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Puerto 5173, VITE_API_URL, logs del contenedor y respuesta API.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Login falla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Estado de verificación, JWT/refresh, variables y logs backend.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llegan lecturas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Broker 1883, tópico/deviceCode, payload, suscriptor, permisos BD y deduplicación.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ESP32 offline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Wi-Fi, NVS, host/puerto, estado MQTT, RSSI y fuente de alimentación.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Datos duplicados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mqttMessageId, timestamp, reintentos y restricciones de BD.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Correo no llega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SMTP y credenciales; actualmente no se considera comprobado.</w:t>
            </w:r>
          </w:p>
        </w:tc>
      </w:tr>
    </w:tbl>
    <w:p>
      <w:pPr>
        <w:spacing w:after="20"/>
      </w:pPr>
    </w:p>
    <w:p>
      <w:pPr>
        <w:pStyle w:val="Heading1"/>
      </w:pPr>
      <w:r>
        <w:t>7. Mantenimiento</w:t>
      </w:r>
    </w:p>
    <w:p>
      <w:r>
        <w:t>Toda modificación debe acompañarse de cambios versionados, pruebas, actualización de documentación y fecha de corte. Las migraciones de BD no se reescriben después de aplicadas; se agregan cambios nuevos y rollback correspondiente.</w:t>
      </w:r>
    </w:p>
    <w:p>
      <w:pPr>
        <w:spacing w:before="80" w:after="160"/>
        <w:ind w:left="216" w:right="216"/>
      </w:pPr>
      <w:r>
        <w:rPr>
          <w:b/>
          <w:color w:val="167C80"/>
        </w:rPr>
        <w:t xml:space="preserve">Nota de control documental. </w:t>
      </w:r>
      <w:r>
        <w:t>Basado en README raíz, BK_HS/docs, firmware/README.md, platformio.ini, contrato MQTT y estructura real del repositorio. No se incluyen secretos, direcciones productivas ni instrucciones destructivas.</w:t>
      </w:r>
    </w:p>
    <w:p>
      <w:r>
        <w:br w:type="page"/>
      </w:r>
    </w:p>
    <w:p>
      <w:pPr>
        <w:pStyle w:val="Heading1"/>
      </w:pPr>
      <w:r>
        <w:t>8. Mapa técnico del repositorio</w:t>
      </w:r>
    </w:p>
    <w:p>
      <w:r>
        <w:t>El sistema no es un único ejecutable: se compone de módulos coordinados. El repositorio mantiene separadas la persistencia, la API, la presentación y el dispositivo físico. El siguiente mapa ayuda a ubicar una incidencia antes de modificar cualquier componente.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Puntos de revisión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BD_HS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PostgreSQL, Liquibase, tablas, funciones, vistas, RLS, roles y grants.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changelog-master.yaml, 01_ddl–05_rollbacks, docs y diagnósticos.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BK_HS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API Node.js/Express, autenticación, casos de uso, repositorios, MQTT, jobs y pruebas.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src/app.js, core/application, core/domain, core/infrastructure, src/mqtt y tests.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FT_HS/frontend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Cliente React/Vite, TypeScript, rutas, features, WebView móvil y puente BLE.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src/app, src/features, src/mobile, src/shared y scripts de preparación móvil.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firmware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ESP32 con PlatformIO, provisioning BLE, Wi-Fi, MQTT, sensores, actuadores, OTA y almacenamiento.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platformio.ini, src/main.cpp, provisioning, wifi, mqtt, sensors, actuators y tests.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Estado, integración, IoT, ejecución local y validación transversal.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estado-verificado-2026-09-26.md y guías de ejecución.</w:t>
            </w:r>
          </w:p>
        </w:tc>
      </w:tr>
    </w:tbl>
    <w:p/>
    <w:p>
      <w:pPr>
        <w:pStyle w:val="Heading1"/>
      </w:pPr>
      <w:r>
        <w:t>9. Topología de ejecución local</w:t>
      </w:r>
    </w:p>
    <w:p>
      <w:r>
        <w:t>El Compose raíz levanta PostgreSQL, el bootstrap de roles, Mosquitto, backend, frontend y el perfil opcional de Liquibase. Desde Windows se usan los puertos publicados; entre contenedores se usan los nombres de servicio y los puertos internos.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Host / puerto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Red interna / función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http://localhost:5173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Nginx sirve la aplicación; reenvía /api/ al backend.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http://localhost:3000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API REST, health, reglas de negocio y subscriber MQTT.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Health backend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http://localhost:3000/health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Comprobación directa de salud.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Health frontend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http://localhost:5173/health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Comprobación a través de Nginx.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localhost:5433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Desde Windows; dentro de Docker: postgres:5432.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Mosquitto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localhost:1883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Desde Windows; dentro de Docker: mosquitto:1883.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Liquibase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Perfil tooling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Ejecuta validate, status y update contra PostgreSQL.</w:t>
            </w:r>
          </w:p>
        </w:tc>
      </w:tr>
    </w:tbl>
    <w:p/>
    <w:p>
      <w:pPr>
        <w:ind w:left="240" w:right="240"/>
      </w:pPr>
      <w:r>
        <w:rPr>
          <w:b/>
          <w:color w:val="167C80"/>
        </w:rPr>
        <w:t xml:space="preserve">Control de evidencia. </w:t>
      </w:r>
      <w:r>
        <w:t>Los puertos se toman de docker-compose.yml y README.md. El broker local es anónimo y sin TLS solo para desarrollo; no deben extrapolarse estas condiciones a producción.</w:t>
      </w:r>
    </w:p>
    <w:p>
      <w:pPr>
        <w:pStyle w:val="Heading1"/>
      </w:pPr>
      <w:r>
        <w:t>10. Backend, API y autenticación</w:t>
      </w:r>
    </w:p>
    <w:p>
      <w:r>
        <w:t>La API se monta bajo /api/v1. El health público se consulta en /health y el backend también expone /health/live y /health/ready para liveness y readiness. La telemetría MQTT no entra por una ruta REST: llega por el broker y pasa por el subscriber.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Prefijo</w:t>
            </w:r>
          </w:p>
        </w:tc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Responsabilidad documentada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/auth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Registro, verificación, login, refresh, logout, cambio y recuperación de contraseña.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/homes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Hogares, miembros y solicitudes.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/devices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Registro, vinculación, configuración, estado y dispositivos.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/consumption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Resumen, lecturas agregadas, costos y series por día, hora, mes o ubicación.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/users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Perfil y preferencias.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/tariffs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Tarifa vigente por hogar.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/alerts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Alertas, reglas, umbrales e historial.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/goals y /vacation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Metas, progreso y configuración del modo vacaciones.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/roles, /support y /audit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Roles, tickets/respuestas y auditoría.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/privacy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Consentimientos, exportación propia y solicitudes ARCO.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/reports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Exportación de consumo en PDF/Excel e historial de descargas.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/recommendations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Recomendaciones propias y resumen por hogar.</w:t>
            </w:r>
          </w:p>
        </w:tc>
      </w:tr>
    </w:tbl>
    <w:p/>
    <w:p>
      <w:pPr>
        <w:pStyle w:val="Heading2"/>
      </w:pPr>
      <w:r>
        <w:t>10.1 Flujo de autenticación</w:t>
      </w:r>
    </w:p>
    <w:p>
      <w:pPr>
        <w:pStyle w:val="ListBullet"/>
        <w:spacing w:after="40"/>
      </w:pPr>
      <w:r>
        <w:t>Una cuenta nueva queda en estado Pending hasta consumir el token de correo.</w:t>
      </w:r>
    </w:p>
    <w:p>
      <w:pPr>
        <w:pStyle w:val="ListBullet"/>
        <w:spacing w:after="40"/>
      </w:pPr>
      <w:r>
        <w:t>El login entrega access/refresh tokens; el Compose define por defecto 15 minutos para JWT y 30 días para refresh, salvo que el entorno los cambie.</w:t>
      </w:r>
    </w:p>
    <w:p>
      <w:pPr>
        <w:pStyle w:val="ListBullet"/>
        <w:spacing w:after="40"/>
      </w:pPr>
      <w:r>
        <w:t>Las rutas protegidas reciben Bearer; el cliente HTTP intenta una renovación ante 401 una sola vez.</w:t>
      </w:r>
    </w:p>
    <w:p>
      <w:pPr>
        <w:pStyle w:val="ListBullet"/>
        <w:spacing w:after="40"/>
      </w:pPr>
      <w:r>
        <w:t>Logout, revocación, cambio de contraseña y cierre de sesiones invalidan el acceso conforme al flujo del backend.</w:t>
      </w:r>
    </w:p>
    <w:p>
      <w:pPr>
        <w:pStyle w:val="ListBullet"/>
        <w:spacing w:after="40"/>
      </w:pPr>
      <w:r>
        <w:t>No se deben registrar tokens, contraseñas, SMTP_PASSWORD ni claves JWT en tickets o documentos.</w:t>
      </w:r>
    </w:p>
    <w:p>
      <w:pPr>
        <w:pStyle w:val="Heading1"/>
      </w:pPr>
      <w:r>
        <w:t>11. Base de datos y migraciones</w:t>
      </w:r>
    </w:p>
    <w:p>
      <w:r>
        <w:t>La fuente de verdad de la estructura es BD_HS/changelog. El corte verificado registra PostgreSQL 16, Liquibase 5.0.2, 245 changesets, 58 tablas de aplicación y 5 vistas materializadas.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Responsabilidad técnica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user_account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Usuarios, perfiles, sesiones, credenciales y roles.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preference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Idioma, moneda, tema y preferencias.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home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Hogares, miembros, solicitudes, vacaciones y metas.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device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Dispositivos, asociaciones, estados, telemetría y actuadores.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consumption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Lecturas y agregados diarios, horarios, mensuales y por ubicación.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alert_rate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Reglas, umbrales, eventos, notificaciones y tarifas.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analytics_support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Reportes, recomendaciones y tickets.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audit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Auditoría y errores.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privacy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Consentimientos y solicitudes ARCO.</w:t>
            </w:r>
          </w:p>
        </w:tc>
      </w:tr>
    </w:tbl>
    <w:p/>
    <w:p>
      <w:r>
        <w:t>Los roles técnicos documentados son hidro_smart_admin, hidro_smart_liquibase, hidro_smart_app, hidro_smart_ingest e hidro_smart_readonly. La aplicación usa hidro_smart_app; la ingestión IoT está separada en hidro_smart_ingest. RLS/RBAC y funciones SQL protegidas actúan como barrera de datos.</w:t>
      </w:r>
    </w:p>
    <w:p>
      <w:pPr>
        <w:pStyle w:val="Heading1"/>
      </w:pPr>
      <w:r>
        <w:t>12. Contrato MQTT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7C80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484"/>
            <w:shd w:fill="167C80"/>
          </w:tcPr>
          <w:p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2484"/>
            <w:shd w:fill="167C80"/>
          </w:tcPr>
          <w:p>
            <w:r>
              <w:rPr>
                <w:b/>
                <w:color w:val="FFFFFF"/>
                <w:sz w:val="18"/>
              </w:rPr>
              <w:t>QoS / retain</w:t>
            </w:r>
          </w:p>
        </w:tc>
        <w:tc>
          <w:tcPr>
            <w:tcW w:type="dxa" w:w="2484"/>
            <w:shd w:fill="167C80"/>
          </w:tcPr>
          <w:p>
            <w:r>
              <w:rPr>
                <w:b/>
                <w:color w:val="FFFFFF"/>
                <w:sz w:val="18"/>
              </w:rPr>
              <w:t>Contenido o uso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hidrosmart/devices/{deviceCode}/telemetry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ESP32 → backend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QoS 1 / no retain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Lecturas de flujo/consumo y métricas opcionales.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hidrosmart/devices/{deviceCode}/status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ESP32 → backend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QoS 1 / retain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ONLINE, OFFLINE o ERROR; hardwareId, provisioningState, firmwareVersion, red y timestamp.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hidrosmart/devices/{deviceCode}/config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backend → ESP32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QoS 1 según uso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Configuración soportada por el contrato.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.../actuators/{valve|pump}/command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backend → ESP32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QoS 1 / no retain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Comando de válvula o bomba.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.../actuators/{valve|pump}/status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ESP32 → backend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QoS 1 / retain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  <w:t>Estado y ACK del actuador.</w:t>
            </w:r>
          </w:p>
        </w:tc>
      </w:tr>
    </w:tbl>
    <w:p/>
    <w:p>
      <w:r>
        <w:t>El payload mínimo de telemetría incluye flowRateLpm y consumptionLiters. Puede incluir totalLiters, pulses, mqttMessageId, deviceId, hardwareId, sampleIntervalSeconds, timestamp, signalQuality, wifiRssiDbm, batería, voltaje y temperatura. Los timestamps ISO-8601 se normalizan a UTC; si faltan, el backend usa la recepción como fallback según la documentación del parser.</w:t>
      </w:r>
    </w:p>
    <w:p>
      <w:pPr>
        <w:pStyle w:val="Heading2"/>
      </w:pPr>
      <w:r>
        <w:t>12.1 Cadena de ingestión</w:t>
      </w:r>
    </w:p>
    <w:p>
      <w:pPr>
        <w:pStyle w:val="ListNumber"/>
        <w:spacing w:after="40"/>
      </w:pPr>
      <w:r>
        <w:t>MqttSubscriber mantiene las suscripciones de telemetry, status y estados de actuadores.</w:t>
      </w:r>
    </w:p>
    <w:p>
      <w:pPr>
        <w:pStyle w:val="ListNumber"/>
        <w:spacing w:after="40"/>
      </w:pPr>
      <w:r>
        <w:t>El parser valida y normaliza nombres, tipos, timestamp y métricas.</w:t>
      </w:r>
    </w:p>
    <w:p>
      <w:pPr>
        <w:pStyle w:val="ListNumber"/>
        <w:spacing w:after="40"/>
      </w:pPr>
      <w:r>
        <w:t>El handler delega en IngestReading y PostgresTelemetryRepository.</w:t>
      </w:r>
    </w:p>
    <w:p>
      <w:pPr>
        <w:pStyle w:val="ListNumber"/>
        <w:spacing w:after="40"/>
      </w:pPr>
      <w:r>
        <w:t>Se resuelve deviceCode contra device.device.code y se verifica asociación activa con el hogar.</w:t>
      </w:r>
    </w:p>
    <w:p>
      <w:pPr>
        <w:pStyle w:val="ListNumber"/>
        <w:spacing w:after="40"/>
      </w:pPr>
      <w:r>
        <w:t>La lectura se inserta en consumption.sensor_reading mediante función SQL protegida.</w:t>
      </w:r>
    </w:p>
    <w:p>
      <w:pPr>
        <w:pStyle w:val="ListNumber"/>
        <w:spacing w:after="40"/>
      </w:pPr>
      <w:r>
        <w:t>mqttMessageId permite idempotencia; los mensajes duplicados no deben generar lecturas adicionales.</w:t>
      </w:r>
    </w:p>
    <w:p>
      <w:pPr>
        <w:pStyle w:val="ListNumber"/>
        <w:spacing w:after="40"/>
      </w:pPr>
      <w:r>
        <w:t>El dato documentado usa consumption_liters NUMERIC(14,3) y volumen en m³ NUMERIC(14,6).</w:t>
      </w:r>
    </w:p>
    <w:p>
      <w:pPr>
        <w:pStyle w:val="Heading1"/>
      </w:pPr>
      <w:r>
        <w:t>13. Firmware y BLE</w:t>
      </w:r>
    </w:p>
    <w:p>
      <w:r>
        <w:t>El firmware usa PlatformIO, entorno esp32dev, framework Arduino y monitor a 115200. Las dependencias declaradas son PubSubClient, ArduinoJson y NimBLE-Arduino. El sensor YF-S201 se observa conectado al GPIO 27 en el corte técnico; la adaptación eléctrica y la calibración con volumen conocido siguen siendo responsabilidades de la validación física.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Elemento BLE</w:t>
            </w:r>
          </w:p>
        </w:tc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UUID / dato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Servicio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4fafc201-1fb5-459e-8fcc-c5c9c331914b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Característica Configuración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beb5483e-36e1-4688-b7f5-ea07361b26a8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Característica Estado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beb5483e-36e1-4688-b7f5-ea07361b26a9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Persistencia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SSID, contraseña, host, puerto y deviceCode en NVS; hasta cinco perfiles de red.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Identidad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hardwareId estable derivado del eFuse; deviceCode lógico opcional según contrato.</w:t>
            </w:r>
          </w:p>
        </w:tc>
      </w:tr>
    </w:tbl>
    <w:p/>
    <w:p>
      <w:r>
        <w:t>El JSON de configuración documentado es: {"ssid":"NOMBRE_DE_LA_RED","password":"CLAVE_WIFI","deviceCode":"ESP32-001"}. mqttHost y mqttPort pueden enviarse para que el firmware guarde el broker. El puente móvil usa react-native-ble-plx y requiere development build; Expo Go no basta para BLE nativo.</w:t>
      </w:r>
    </w:p>
    <w:p>
      <w:pPr>
        <w:pStyle w:val="Heading1"/>
      </w:pPr>
      <w:r>
        <w:t>14. Diagnóstico técnico por síntoma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Comprobaciones en orden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Límite conocido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Frontend no responde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Puerto 5173, frontend container, /health, backend healthy y VITE_API_URL.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asumir que una pantalla carga datos si API/BD no están saludables.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API no responde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docker compose ps, /health, logs backend, variables DB/JWT.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exponer credenciales al adjuntar logs.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BD no aplica cambios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postgres healthy, db-bootstrap completo, validate/status/update.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editar tablas manualmente para corregir una migración.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llegan lecturas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Broker 1883, topic/deviceCode, payload, subscriber, permisos y función SQL.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MQTT no usa una ruta REST.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ESP32 offline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Energía, Wi-Fi, NVS, host/puerto, estado MQTT, RSSI y BLE.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La prueba local no demuestra seguridad productiva.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Lecturas duplicadas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mqttMessageId, reintentos, timestamp y constraints/función SQL.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Repetir con mensaje controlado antes de corregir código.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Actuador sin ACK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Topic command/status, correlationId, estado persistido y dispositivo soportado.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Hardware real requerido para cerrar prueba.</w:t>
            </w:r>
          </w:p>
        </w:tc>
      </w:tr>
    </w:tbl>
    <w:p/>
    <w:p>
      <w:pPr>
        <w:pStyle w:val="Heading1"/>
      </w:pPr>
      <w:r>
        <w:t>15. Evidencia y límites técnicos</w:t>
      </w:r>
    </w:p>
    <w:p>
      <w:pPr>
        <w:pStyle w:val="ListBullet"/>
        <w:spacing w:after="40"/>
      </w:pPr>
      <w:r>
        <w:t>El corte 2026-09-26 registra Docker, BD, backend unitario, frontend, firmware compilado y MQTT local como verificados.</w:t>
      </w:r>
    </w:p>
    <w:p>
      <w:pPr>
        <w:pStyle w:val="ListBullet"/>
        <w:spacing w:after="40"/>
      </w:pPr>
      <w:r>
        <w:t>Se documentan dos dispositivos y 3.245 lecturas persistidas al cierre de ese corte.</w:t>
      </w:r>
    </w:p>
    <w:p>
      <w:pPr>
        <w:pStyle w:val="ListBullet"/>
        <w:spacing w:after="40"/>
      </w:pPr>
      <w:r>
        <w:t>La prueba física registra seis mensajes en reposo y cinco con agua circulando para HS-141F47470968.</w:t>
      </w:r>
    </w:p>
    <w:p>
      <w:pPr>
        <w:pStyle w:val="ListBullet"/>
        <w:spacing w:after="40"/>
      </w:pPr>
      <w:r>
        <w:t>La calibración con volumen conocido, MQTT productivo con TLS/ACL, backup/restore, SMTP real, accesibilidad, E2E y push WebSocket no están cerrados.</w:t>
      </w:r>
    </w:p>
    <w:p>
      <w:pPr>
        <w:ind w:left="240" w:right="240"/>
      </w:pPr>
      <w:r>
        <w:rPr>
          <w:b/>
          <w:color w:val="167C80"/>
        </w:rPr>
        <w:t xml:space="preserve">Control de evidencia. </w:t>
      </w:r>
      <w:r>
        <w:t>Fuentes: PT_HS/README.md, docker-compose.yml, docs/estado-verificado-2026-09-26.md, BK_HS/docs/00-estado-actual.md, BK_HS/docs/14-mqtt-protocol.md, BD_HS/docs/README.md, firmware/README.md, platformio.ini y package.json. La fecha de corte es parte del contenido técnico.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B6573"/>
        <w:sz w:val="16"/>
      </w:rPr>
      <w:t xml:space="preserve">HidroSmart | DOC-08 | Versión documental consolidada 1.0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