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67C80"/>
          <w:sz w:val="28"/>
        </w:rPr>
        <w:t>HIDROSMART</w:t>
      </w:r>
    </w:p>
    <w:p>
      <w:pPr>
        <w:pStyle w:val="Title"/>
        <w:jc w:val="center"/>
      </w:pPr>
      <w:r>
        <w:t>Manual de usuario final de HidroSmart</w:t>
      </w:r>
    </w:p>
    <w:p>
      <w:pPr>
        <w:jc w:val="center"/>
      </w:pPr>
      <w:r>
        <w:rPr>
          <w:color w:val="5B6573"/>
          <w:sz w:val="24"/>
        </w:rPr>
        <w:t>Operación funcional de la plataforma</w:t>
      </w:r>
    </w:p>
    <w:p>
      <w:pPr>
        <w:jc w:val="center"/>
      </w:pPr>
      <w:r>
        <w:rPr>
          <w:color w:val="5B6573"/>
          <w:sz w:val="20"/>
        </w:rPr>
        <w:t>Versión documental consolidada 1.0</w:t>
        <w:br/>
        <w:t>Fecha de corte: 2026-10-09</w:t>
        <w:br/>
        <w:t>Código documental: DOC-10</w:t>
      </w:r>
    </w:p>
    <w:p>
      <w:r>
        <w:br w:type="page"/>
      </w:r>
    </w:p>
    <w:p>
      <w:pPr>
        <w:pStyle w:val="Heading1"/>
      </w:pPr>
      <w:r>
        <w:t>Ampliación de operación funcional</w:t>
      </w:r>
    </w:p>
    <w:p>
      <w:pPr>
        <w:spacing w:after="160"/>
      </w:pPr>
      <w:r>
        <w:t>Este manual explica los flujos que están respaldados por las rutas, módulos, prototipos y documentación de PT_HS. Los textos describen funciones y resultados esperados, pero no fijan nombres exactos de botones que pueden cambiar entre builds.</w:t>
      </w:r>
    </w:p>
    <w:p>
      <w:pPr>
        <w:pStyle w:val="Heading1"/>
      </w:pPr>
      <w:r>
        <w:t>1. Antes de comenzar</w:t>
      </w:r>
    </w:p>
    <w:p>
      <w:r>
        <w:t>El usuario necesita una cuenta, acceso al ambiente HidroSmart y, si va a registrar un dispositivo físico, un equipo ESP32 preparado por el responsable técnico. Las pantallas pueden variar con la versión del frontend; este manual describe la funcionalidad que se encuentra respaldada por el repositorio.</w:t>
      </w:r>
    </w:p>
    <w:p>
      <w:pPr>
        <w:pStyle w:val="Heading1"/>
      </w:pPr>
      <w:r>
        <w:t>2. Crear cuenta e ingresar</w:t>
      </w:r>
    </w:p>
    <w:p>
      <w:pPr>
        <w:pStyle w:val="ListNumber"/>
        <w:spacing w:after="40"/>
      </w:pPr>
      <w:r>
        <w:t>Abrir la aplicación y seleccionar registro.</w:t>
      </w:r>
    </w:p>
    <w:p>
      <w:pPr>
        <w:pStyle w:val="ListNumber"/>
        <w:spacing w:after="40"/>
      </w:pPr>
      <w:r>
        <w:t>Completar los datos solicitados y confirmar el correo.</w:t>
      </w:r>
    </w:p>
    <w:p>
      <w:pPr>
        <w:pStyle w:val="ListNumber"/>
        <w:spacing w:after="40"/>
      </w:pPr>
      <w:r>
        <w:t>Ingresar con las credenciales verificadas.</w:t>
      </w:r>
    </w:p>
    <w:p>
      <w:pPr>
        <w:pStyle w:val="ListNumber"/>
        <w:spacing w:after="40"/>
      </w:pPr>
      <w:r>
        <w:t>Si la sesión expira, volver a autenticarse; no compartir tokens ni contraseñas.</w:t>
      </w:r>
    </w:p>
    <w:p>
      <w:pPr>
        <w:pStyle w:val="ListNumber"/>
        <w:spacing w:after="40"/>
      </w:pPr>
      <w:r>
        <w:t>Usar recuperación de contraseña cuando esté habilitada por el ambiente.</w:t>
      </w:r>
    </w:p>
    <w:p>
      <w:pPr>
        <w:pStyle w:val="Heading1"/>
      </w:pPr>
      <w:r>
        <w:t>3. Hogares y miembros</w:t>
      </w:r>
    </w:p>
    <w:p>
      <w:pPr>
        <w:pStyle w:val="ListBullet"/>
        <w:spacing w:after="40"/>
      </w:pPr>
      <w:r>
        <w:t>Crear o seleccionar un hogar.</w:t>
      </w:r>
    </w:p>
    <w:p>
      <w:pPr>
        <w:pStyle w:val="ListBullet"/>
        <w:spacing w:after="40"/>
      </w:pPr>
      <w:r>
        <w:t>Consultar miembros y solicitudes.</w:t>
      </w:r>
    </w:p>
    <w:p>
      <w:pPr>
        <w:pStyle w:val="ListBullet"/>
        <w:spacing w:after="40"/>
      </w:pPr>
      <w:r>
        <w:t>Administrar vacaciones y metas cuando se tenga permiso.</w:t>
      </w:r>
    </w:p>
    <w:p>
      <w:pPr>
        <w:pStyle w:val="ListBullet"/>
        <w:spacing w:after="40"/>
      </w:pPr>
      <w:r>
        <w:t>Cambiar preferencias de idioma, moneda, tema y opciones disponibles.</w:t>
      </w:r>
    </w:p>
    <w:p>
      <w:pPr>
        <w:pStyle w:val="Heading1"/>
      </w:pPr>
      <w:r>
        <w:t>4. Registrar y preparar un dispositivo</w:t>
      </w:r>
    </w:p>
    <w:p>
      <w:pPr>
        <w:pStyle w:val="ListNumber"/>
        <w:spacing w:after="40"/>
      </w:pPr>
      <w:r>
        <w:t>Abrir la sección de dispositivos y registrar nombre/ubicación.</w:t>
      </w:r>
    </w:p>
    <w:p>
      <w:pPr>
        <w:pStyle w:val="ListNumber"/>
        <w:spacing w:after="40"/>
      </w:pPr>
      <w:r>
        <w:t>Asociar mediante el código del dispositivo.</w:t>
      </w:r>
    </w:p>
    <w:p>
      <w:pPr>
        <w:pStyle w:val="ListNumber"/>
        <w:spacing w:after="40"/>
      </w:pPr>
      <w:r>
        <w:t>Revisar estado, última conexión y umbrales.</w:t>
      </w:r>
    </w:p>
    <w:p>
      <w:pPr>
        <w:pStyle w:val="ListNumber"/>
        <w:spacing w:after="40"/>
      </w:pPr>
      <w:r>
        <w:t>Para un ESP32 nuevo, solicitar al técnico el modo de aprovisionamiento BLE.</w:t>
      </w:r>
    </w:p>
    <w:p>
      <w:pPr>
        <w:pStyle w:val="ListNumber"/>
        <w:spacing w:after="40"/>
      </w:pPr>
      <w:r>
        <w:t>Desde la aplicación móvil compatible, seleccionar el dispositivo BLE y enviar los parámetros autorizados.</w:t>
      </w:r>
    </w:p>
    <w:p>
      <w:pPr>
        <w:pStyle w:val="ListNumber"/>
        <w:spacing w:after="40"/>
      </w:pPr>
      <w:r>
        <w:t>No introducir credenciales en formularios o aplicaciones no oficiales.</w:t>
      </w:r>
    </w:p>
    <w:p>
      <w:pPr>
        <w:pStyle w:val="Heading1"/>
      </w:pPr>
      <w:r>
        <w:t>5. Consultar consumo</w:t>
      </w:r>
    </w:p>
    <w:p>
      <w:pPr>
        <w:pStyle w:val="ListBullet"/>
        <w:spacing w:after="40"/>
      </w:pPr>
      <w:r>
        <w:t>Seleccionar hogar y dispositivo.</w:t>
      </w:r>
    </w:p>
    <w:p>
      <w:pPr>
        <w:pStyle w:val="ListBullet"/>
        <w:spacing w:after="40"/>
      </w:pPr>
      <w:r>
        <w:t>Revisar lectura actual y gráficas por periodo.</w:t>
      </w:r>
    </w:p>
    <w:p>
      <w:pPr>
        <w:pStyle w:val="ListBullet"/>
        <w:spacing w:after="40"/>
      </w:pPr>
      <w:r>
        <w:t>Interpretar flujo en L/min y consumo en litros; las vistas pueden mostrar m³.</w:t>
      </w:r>
    </w:p>
    <w:p>
      <w:pPr>
        <w:pStyle w:val="ListBullet"/>
        <w:spacing w:after="40"/>
      </w:pPr>
      <w:r>
        <w:t>Comparar agregados con la lectura de origen cuando se analice una anomalía.</w:t>
      </w:r>
    </w:p>
    <w:p>
      <w:pPr>
        <w:pStyle w:val="ListBullet"/>
        <w:spacing w:after="40"/>
      </w:pPr>
      <w:r>
        <w:t>La actualización del panel puede usar consulta periódica; no asumir una notificación instantánea si no aparece el nuevo dato.</w:t>
      </w:r>
    </w:p>
    <w:p>
      <w:pPr>
        <w:pStyle w:val="Heading1"/>
      </w:pPr>
      <w:r>
        <w:t>6. Metas, alertas y recomendaciones</w:t>
      </w:r>
    </w:p>
    <w:p>
      <w:pPr>
        <w:pStyle w:val="ListBullet"/>
        <w:spacing w:after="40"/>
      </w:pPr>
      <w:r>
        <w:t>Definir una meta de consumo con el periodo disponible.</w:t>
      </w:r>
    </w:p>
    <w:p>
      <w:pPr>
        <w:pStyle w:val="ListBullet"/>
        <w:spacing w:after="40"/>
      </w:pPr>
      <w:r>
        <w:t>Configurar umbrales de alerta según permisos.</w:t>
      </w:r>
    </w:p>
    <w:p>
      <w:pPr>
        <w:pStyle w:val="ListBullet"/>
        <w:spacing w:after="40"/>
      </w:pPr>
      <w:r>
        <w:t>Revisar eventos y recomendaciones.</w:t>
      </w:r>
    </w:p>
    <w:p>
      <w:pPr>
        <w:pStyle w:val="ListBullet"/>
        <w:spacing w:after="40"/>
      </w:pPr>
      <w:r>
        <w:t>Si no llega un correo, informar al soporte: el SMTP real no está validado en el corte documental.</w:t>
      </w:r>
    </w:p>
    <w:p>
      <w:pPr>
        <w:pStyle w:val="Heading1"/>
      </w:pPr>
      <w:r>
        <w:t>7. Interpretar estados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Estado</w:t>
            </w:r>
          </w:p>
        </w:tc>
        <w:tc>
          <w:tcPr>
            <w:tcW w:type="dxa" w:w="4968"/>
            <w:vAlign w:val="center"/>
            <w:shd w:fill="167C80"/>
          </w:tcPr>
          <w:p>
            <w:pPr>
              <w:spacing w:after="40"/>
            </w:pPr>
            <w:r/>
            <w:r>
              <w:rPr>
                <w:b/>
                <w:color w:val="FFFFFF"/>
                <w:sz w:val="19"/>
              </w:rPr>
              <w:t>Significado y acción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ONLINE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El backend recibió estado reciente; revisar timestamp.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OFFLINE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hay comunicación reciente; revisar energía, red y broker con soporte.</w:t>
            </w:r>
          </w:p>
        </w:tc>
      </w:tr>
      <w:tr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ERROR</w:t>
            </w:r>
          </w:p>
        </w:tc>
        <w:tc>
          <w:tcPr>
            <w:tcW w:type="dxa" w:w="4968"/>
            <w:vAlign w:val="center"/>
            <w:shd w:fill="F5FAFA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El dispositivo reporta una condición que requiere diagnóstico técnico.</w:t>
            </w:r>
          </w:p>
        </w:tc>
      </w:tr>
      <w:tr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Sin lectura</w:t>
            </w:r>
          </w:p>
        </w:tc>
        <w:tc>
          <w:tcPr>
            <w:tcW w:type="dxa" w:w="4968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9"/>
              </w:rPr>
              <w:t>No hay dato persistido o el rango no contiene muestras; no concluir que el consumo sea cero.</w:t>
            </w:r>
          </w:p>
        </w:tc>
      </w:tr>
    </w:tbl>
    <w:p>
      <w:pPr>
        <w:spacing w:after="20"/>
      </w:pPr>
    </w:p>
    <w:p>
      <w:pPr>
        <w:pStyle w:val="Heading1"/>
      </w:pPr>
      <w:r>
        <w:t>8. Buenas prácticas</w:t>
      </w:r>
    </w:p>
    <w:p>
      <w:pPr>
        <w:pStyle w:val="ListBullet"/>
        <w:spacing w:after="40"/>
      </w:pPr>
      <w:r>
        <w:t>Usar contraseñas únicas y cerrar sesión en equipos compartidos.</w:t>
      </w:r>
    </w:p>
    <w:p>
      <w:pPr>
        <w:pStyle w:val="ListBullet"/>
        <w:spacing w:after="40"/>
      </w:pPr>
      <w:r>
        <w:t>Reportar lecturas imposibles, cambios de ubicación o pérdida de dispositivo.</w:t>
      </w:r>
    </w:p>
    <w:p>
      <w:pPr>
        <w:pStyle w:val="ListBullet"/>
        <w:spacing w:after="40"/>
      </w:pPr>
      <w:r>
        <w:t>No desconectar el ESP32 durante una actualización.</w:t>
      </w:r>
    </w:p>
    <w:p>
      <w:pPr>
        <w:pStyle w:val="ListBullet"/>
        <w:spacing w:after="40"/>
      </w:pPr>
      <w:r>
        <w:t>Guardar capturas con fecha y dispositivo al reportar un incidente.</w:t>
      </w:r>
    </w:p>
    <w:p>
      <w:pPr>
        <w:pStyle w:val="ListBullet"/>
        <w:spacing w:after="40"/>
      </w:pPr>
      <w:r>
        <w:t>Solicitar al administrador la eliminación/corrección de datos conforme al procedimiento institucional.</w:t>
      </w:r>
    </w:p>
    <w:p>
      <w:pPr>
        <w:spacing w:before="80" w:after="160"/>
        <w:ind w:left="216" w:right="216"/>
      </w:pPr>
      <w:r>
        <w:rPr>
          <w:b/>
          <w:color w:val="167C80"/>
        </w:rPr>
        <w:t xml:space="preserve">Nota de control documental. </w:t>
      </w:r>
      <w:r>
        <w:t>Este manual no inventa nombres de botones específicos que pueden cambiar en la UI. Se basa en módulos, rutas y flujos descritos en PT_HS y en los documentos de prototipado locales.</w:t>
      </w:r>
    </w:p>
    <w:p>
      <w:r>
        <w:br w:type="page"/>
      </w:r>
    </w:p>
    <w:p>
      <w:pPr>
        <w:pStyle w:val="Heading1"/>
      </w:pPr>
      <w:r>
        <w:t>9. Mapa de uso de la plataforma</w:t>
      </w:r>
    </w:p>
    <w:p>
      <w:r>
        <w:t>La navegación autenticada usa /app/* y el menú lateral es colapsable en escritorio y hamburguesa en móvil. El usuario opera mediante la interfaz; PostgreSQL y MQTT son componentes técnicos y no deben abrirse directamente desde el navegador.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Área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Qué permite hacer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Cuenta y perfil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Registro, verificación, login, recuperación, sesiones, perfil, avatar y teléfono.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Hogares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Crear/consultar hogares, miembros, solicitudes, vacaciones y metas.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Dispositivos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Registrar, vincular por código, editar nombre/ubicación/umbral y consultar estado.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Consumo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Consultar resumen, lecturas, agregados, costos y series por periodo/ubicación.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Alertas y tarifas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Consultar reglas, umbrales, eventos, notificaciones y tarifa del hogar.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Reportes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Solicitar PDF/Excel, revisar historial propio y descargar el resultado disponible.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Recomendaciones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Consultar recomendaciones propias y resumen por hogar.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Soporte y privacidad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Crear/consultar tickets, respuestas, consentimientos y solicitudes ARCO.</w:t>
            </w:r>
          </w:p>
        </w:tc>
      </w:tr>
    </w:tbl>
    <w:p/>
    <w:p>
      <w:pPr>
        <w:pStyle w:val="Heading1"/>
      </w:pPr>
      <w:r>
        <w:t>10. Cuenta, verificación y sesiones</w:t>
      </w:r>
    </w:p>
    <w:p>
      <w:pPr>
        <w:pStyle w:val="Heading2"/>
      </w:pPr>
      <w:r>
        <w:t>10.1 Registro y primer ingreso</w:t>
      </w:r>
    </w:p>
    <w:p>
      <w:pPr>
        <w:pStyle w:val="ListNumber"/>
        <w:spacing w:after="40"/>
      </w:pPr>
      <w:r>
        <w:t>Abrir la aplicación y elegir el flujo de registro.</w:t>
      </w:r>
    </w:p>
    <w:p>
      <w:pPr>
        <w:pStyle w:val="ListNumber"/>
        <w:spacing w:after="40"/>
      </w:pPr>
      <w:r>
        <w:t>Completar los datos solicitados y usar un correo al que se tenga acceso.</w:t>
      </w:r>
    </w:p>
    <w:p>
      <w:pPr>
        <w:pStyle w:val="ListNumber"/>
        <w:spacing w:after="40"/>
      </w:pPr>
      <w:r>
        <w:t>Consumir el enlace de verificación recibido; las cuentas nuevas permanecen Pending hasta ese paso.</w:t>
      </w:r>
    </w:p>
    <w:p>
      <w:pPr>
        <w:pStyle w:val="ListNumber"/>
        <w:spacing w:after="40"/>
      </w:pPr>
      <w:r>
        <w:t>Iniciar sesión con el correo y contraseña registrados.</w:t>
      </w:r>
    </w:p>
    <w:p>
      <w:pPr>
        <w:pStyle w:val="ListNumber"/>
        <w:spacing w:after="40"/>
      </w:pPr>
      <w:r>
        <w:t>Si el ambiente no entrega correo, informar el problema al soporte; el SMTP real no está validado en el corte.</w:t>
      </w:r>
    </w:p>
    <w:p>
      <w:pPr>
        <w:pStyle w:val="Heading2"/>
      </w:pPr>
      <w:r>
        <w:t>10.2 Sesiones y seguridad de acceso</w:t>
      </w:r>
    </w:p>
    <w:p>
      <w:pPr>
        <w:pStyle w:val="ListBullet"/>
        <w:spacing w:after="40"/>
      </w:pPr>
      <w:r>
        <w:t>Cerrar sesión en equipos compartidos.</w:t>
      </w:r>
    </w:p>
    <w:p>
      <w:pPr>
        <w:pStyle w:val="ListBullet"/>
        <w:spacing w:after="40"/>
      </w:pPr>
      <w:r>
        <w:t>Usar recuperación de contraseña si se pierde el acceso.</w:t>
      </w:r>
    </w:p>
    <w:p>
      <w:pPr>
        <w:pStyle w:val="ListBullet"/>
        <w:spacing w:after="40"/>
      </w:pPr>
      <w:r>
        <w:t>Ante una expiración, permitir que el cliente renueve una vez o volver a autenticarse.</w:t>
      </w:r>
    </w:p>
    <w:p>
      <w:pPr>
        <w:pStyle w:val="ListBullet"/>
        <w:spacing w:after="40"/>
      </w:pPr>
      <w:r>
        <w:t>No compartir tokens, contraseñas ni capturas que los contengan.</w:t>
      </w:r>
    </w:p>
    <w:p>
      <w:pPr>
        <w:pStyle w:val="ListBullet"/>
        <w:spacing w:after="40"/>
      </w:pPr>
      <w:r>
        <w:t>Consultar sesiones propias y cerrarlas cuando el flujo esté disponible en el build.</w:t>
      </w:r>
    </w:p>
    <w:p>
      <w:pPr>
        <w:pStyle w:val="Heading1"/>
      </w:pPr>
      <w:r>
        <w:t>11. Perfil, preferencias y hogares</w:t>
      </w:r>
    </w:p>
    <w:p>
      <w:pPr>
        <w:pStyle w:val="Heading2"/>
      </w:pPr>
      <w:r>
        <w:t>11.1 Perfil y preferencias</w:t>
      </w:r>
    </w:p>
    <w:p>
      <w:r>
        <w:t>El backend documenta perfil con avatar opcional y teléfono de hasta 60 caracteres. Las preferencias incluyen idioma, moneda, tema y otras opciones que el build exponga. Después de guardar, vuelva a consultar el perfil para confirmar el cambio; si no aparece, registre el mensaje de error y el momento de la operación.</w:t>
      </w:r>
    </w:p>
    <w:p>
      <w:pPr>
        <w:pStyle w:val="Heading2"/>
      </w:pPr>
      <w:r>
        <w:t>11.2 Hogares y miembros</w:t>
      </w:r>
    </w:p>
    <w:p>
      <w:pPr>
        <w:pStyle w:val="ListBullet"/>
        <w:spacing w:after="40"/>
      </w:pPr>
      <w:r>
        <w:t>Crear o seleccionar un hogar.</w:t>
      </w:r>
    </w:p>
    <w:p>
      <w:pPr>
        <w:pStyle w:val="ListBullet"/>
        <w:spacing w:after="40"/>
      </w:pPr>
      <w:r>
        <w:t>Revisar miembros y solicitudes pendientes.</w:t>
      </w:r>
    </w:p>
    <w:p>
      <w:pPr>
        <w:pStyle w:val="ListBullet"/>
        <w:spacing w:after="40"/>
      </w:pPr>
      <w:r>
        <w:t>Conceder o usar funciones solo si el rol/permisos lo permiten.</w:t>
      </w:r>
    </w:p>
    <w:p>
      <w:pPr>
        <w:pStyle w:val="ListBullet"/>
        <w:spacing w:after="40"/>
      </w:pPr>
      <w:r>
        <w:t>Asociar dispositivos al hogar correcto antes de consultar consumo.</w:t>
      </w:r>
    </w:p>
    <w:p>
      <w:pPr>
        <w:pStyle w:val="ListBullet"/>
        <w:spacing w:after="40"/>
      </w:pPr>
      <w:r>
        <w:t>Configurar modo vacaciones y metas desde el hogar correspondiente.</w:t>
      </w:r>
    </w:p>
    <w:p>
      <w:pPr>
        <w:pStyle w:val="Heading1"/>
      </w:pPr>
      <w:r>
        <w:t>12. Registrar y vincular un dispositivo</w:t>
      </w:r>
    </w:p>
    <w:p>
      <w:pPr>
        <w:pStyle w:val="ListNumber"/>
        <w:spacing w:after="40"/>
      </w:pPr>
      <w:r>
        <w:t>Desde dispositivos, registrar el equipo con nombre y ubicación disponibles.</w:t>
      </w:r>
    </w:p>
    <w:p>
      <w:pPr>
        <w:pStyle w:val="ListNumber"/>
        <w:spacing w:after="40"/>
      </w:pPr>
      <w:r>
        <w:t>Asociarlo usando device.code, sin inventar un código alternativo.</w:t>
      </w:r>
    </w:p>
    <w:p>
      <w:pPr>
        <w:pStyle w:val="ListNumber"/>
        <w:spacing w:after="40"/>
      </w:pPr>
      <w:r>
        <w:t>Verificar que el dispositivo quede relacionado con el hogar esperado.</w:t>
      </w:r>
    </w:p>
    <w:p>
      <w:pPr>
        <w:pStyle w:val="ListNumber"/>
        <w:spacing w:after="40"/>
      </w:pPr>
      <w:r>
        <w:t>Editar nombre, ubicación y umbral cuando el usuario tenga permiso.</w:t>
      </w:r>
    </w:p>
    <w:p>
      <w:pPr>
        <w:pStyle w:val="ListNumber"/>
        <w:spacing w:after="40"/>
      </w:pPr>
      <w:r>
        <w:t>Revisar el estado, última conexión, hardwareId y datos de aprovisionamiento que el build muestre.</w:t>
      </w:r>
    </w:p>
    <w:p>
      <w:r>
        <w:t>La pantalla no solicita la IP del PC como dato de usuario. El host y puerto MQTT se envían desde la configuración técnica del frontend durante BLE y se guardan en NVS; el equipo técnico debe preparar esa configuración antes de la prueba.</w:t>
      </w:r>
    </w:p>
    <w:p>
      <w:pPr>
        <w:pStyle w:val="Heading2"/>
      </w:pPr>
      <w:r>
        <w:t>12.1 Aprovisionamiento BLE: flujo guiado</w:t>
      </w:r>
    </w:p>
    <w:p>
      <w:r>
        <w:t>La aplicación móvil usa react-native-ble-plx y requiere un development build. El servicio documentado es 4fafc201-1fb5-459e-8fcc-c5c9c331914b; configuración es beb5483e-36e1-4688-b7f5-ea07361b26a8 y estado es beb5483e-36e1-4688-b7f5-ea07361b26a9.</w:t>
      </w:r>
    </w:p>
    <w:p>
      <w:pPr>
        <w:pStyle w:val="ListNumber"/>
        <w:spacing w:after="40"/>
      </w:pPr>
      <w:r>
        <w:t>Energizar la placa y acercar el móvil dentro del alcance Bluetooth.</w:t>
      </w:r>
    </w:p>
    <w:p>
      <w:pPr>
        <w:pStyle w:val="ListNumber"/>
        <w:spacing w:after="40"/>
      </w:pPr>
      <w:r>
        <w:t>Seleccionar el dispositivo BLE HidroSmart visible en el build compatible.</w:t>
      </w:r>
    </w:p>
    <w:p>
      <w:pPr>
        <w:pStyle w:val="ListNumber"/>
        <w:spacing w:after="40"/>
      </w:pPr>
      <w:r>
        <w:t>Enviar SSID, contraseña y deviceCode; mqttHost/mqttPort se usan cuando la configuración los requiere.</w:t>
      </w:r>
    </w:p>
    <w:p>
      <w:pPr>
        <w:pStyle w:val="ListNumber"/>
        <w:spacing w:after="40"/>
      </w:pPr>
      <w:r>
        <w:t>Esperar wifi_connecting y luego wifi_connected o wifi_failed.</w:t>
      </w:r>
    </w:p>
    <w:p>
      <w:pPr>
        <w:pStyle w:val="ListNumber"/>
        <w:spacing w:after="40"/>
      </w:pPr>
      <w:r>
        <w:t>Confirmar mqtt_unreachable o provisioning_complete según el resultado.</w:t>
      </w:r>
    </w:p>
    <w:p>
      <w:pPr>
        <w:pStyle w:val="ListNumber"/>
        <w:spacing w:after="40"/>
      </w:pPr>
      <w:r>
        <w:t>No repetir el envío indiscriminadamente: primero revisar el estado y la red.</w:t>
      </w:r>
    </w:p>
    <w:p>
      <w:pPr>
        <w:pStyle w:val="Heading1"/>
      </w:pPr>
      <w:r>
        <w:t>13. Consultar consumo correctamente</w:t>
      </w:r>
    </w:p>
    <w:p>
      <w:r>
        <w:t>Seleccione hogar, dispositivo y periodo antes de interpretar una gráfica. Las rutas documentadas permiten resumen, lecturas agregadas, costos y series por día, hora, mes o ubicación. El dashboard representa el último punto agregado horario; no debe interpretarse como caudal MQTT instantáneo.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Dato visible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Interpretación operativa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flowRateLpm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Caudal en litros por minuto cuando la lectura lo incluye.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consumptionLiters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Consumo de la muestra en litros.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totalLiters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Acumulado informado por el dispositivo cuando está disponible.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pulses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Pulsos contabilizados por el sensor en el intervalo.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timestamp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Instante de medición normalizado; revisar zona horaria.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Sin lectura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No hay muestra disponible para el rango; no equivale automáticamente a consumo cero.</w:t>
            </w:r>
          </w:p>
        </w:tc>
      </w:tr>
    </w:tbl>
    <w:p/>
    <w:p>
      <w:r>
        <w:t>La interfaz actual actualiza datos mediante polling HTTP periódico de aproximadamente cinco segundos en el flujo documentado; no se debe prometer una notificación push WebSocket. Si se requiere el dato más reciente, revise timestamp y estado antes de concluir que existe una anomalía.</w:t>
      </w:r>
    </w:p>
    <w:p>
      <w:pPr>
        <w:pStyle w:val="Heading1"/>
      </w:pPr>
      <w:r>
        <w:t>14. Metas, vacaciones, tarifas y alertas</w:t>
      </w:r>
    </w:p>
    <w:p>
      <w:pPr>
        <w:pStyle w:val="ListBullet"/>
        <w:spacing w:after="40"/>
      </w:pPr>
      <w:r>
        <w:t>Configurar una meta desde el hogar y seleccionar el periodo que la interfaz permita.</w:t>
      </w:r>
    </w:p>
    <w:p>
      <w:pPr>
        <w:pStyle w:val="ListBullet"/>
        <w:spacing w:after="40"/>
      </w:pPr>
      <w:r>
        <w:t>Revisar progreso con el mismo rango temporal usado para las lecturas.</w:t>
      </w:r>
    </w:p>
    <w:p>
      <w:pPr>
        <w:pStyle w:val="ListBullet"/>
        <w:spacing w:after="40"/>
      </w:pPr>
      <w:r>
        <w:t>Activar o consultar modo vacaciones solo para el hogar correcto.</w:t>
      </w:r>
    </w:p>
    <w:p>
      <w:pPr>
        <w:pStyle w:val="ListBullet"/>
        <w:spacing w:after="40"/>
      </w:pPr>
      <w:r>
        <w:t>Consultar la tarifa vigente asociada al hogar antes de interpretar costos.</w:t>
      </w:r>
    </w:p>
    <w:p>
      <w:pPr>
        <w:pStyle w:val="ListBullet"/>
        <w:spacing w:after="40"/>
      </w:pPr>
      <w:r>
        <w:t>Revisar reglas, umbrales, eventos e historial de alertas.</w:t>
      </w:r>
    </w:p>
    <w:p>
      <w:pPr>
        <w:pStyle w:val="ListBullet"/>
        <w:spacing w:after="40"/>
      </w:pPr>
      <w:r>
        <w:t>Si una alerta requiere correo o push y no aparece, reportarla: las credenciales SMTP y la entrega real no están cerradas en el corte.</w:t>
      </w:r>
    </w:p>
    <w:p>
      <w:pPr>
        <w:pStyle w:val="Heading1"/>
      </w:pPr>
      <w:r>
        <w:t>15. Reportes y recomendaciones</w:t>
      </w:r>
    </w:p>
    <w:p>
      <w:pPr>
        <w:pStyle w:val="ListNumber"/>
        <w:spacing w:after="40"/>
      </w:pPr>
      <w:r>
        <w:t>Elegir el hogar autorizado y el rango de fechas.</w:t>
      </w:r>
    </w:p>
    <w:p>
      <w:pPr>
        <w:pStyle w:val="ListNumber"/>
        <w:spacing w:after="40"/>
      </w:pPr>
      <w:r>
        <w:t>Solicitar el formato disponible, PDF o Excel, desde la sección de reportes.</w:t>
      </w:r>
    </w:p>
    <w:p>
      <w:pPr>
        <w:pStyle w:val="ListNumber"/>
        <w:spacing w:after="40"/>
      </w:pPr>
      <w:r>
        <w:t>Esperar la generación y revisar el historial propio de descargas.</w:t>
      </w:r>
    </w:p>
    <w:p>
      <w:pPr>
        <w:pStyle w:val="ListNumber"/>
        <w:spacing w:after="40"/>
      </w:pPr>
      <w:r>
        <w:t>No compartir reportes con datos personales sin autorización.</w:t>
      </w:r>
    </w:p>
    <w:p>
      <w:pPr>
        <w:pStyle w:val="ListNumber"/>
        <w:spacing w:after="40"/>
      </w:pPr>
      <w:r>
        <w:t>Consultar recomendaciones junto con el periodo y hogar a los que aplican.</w:t>
      </w:r>
    </w:p>
    <w:p>
      <w:pPr>
        <w:pStyle w:val="Heading1"/>
      </w:pPr>
      <w:r>
        <w:t>16. Soporte, privacidad y roles</w:t>
      </w:r>
    </w:p>
    <w:p>
      <w:r>
        <w:t>El módulo de soporte documenta catálogos, tickets y respuestas. Al reportar un problema incluya usuario, hogar, deviceCode, timestamp, estado mostrado y pasos realizados; nunca incluya contraseña, token o clave Wi-Fi. El módulo privacy documenta consentimientos, exportación propia y solicitudes ARCO; use el flujo aprobado por la organización.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Perfil / actor</w:t>
            </w:r>
          </w:p>
        </w:tc>
        <w:tc>
          <w:tcPr>
            <w:tcW w:type="dxa" w:w="4968"/>
            <w:shd w:fill="167C80"/>
          </w:tcPr>
          <w:p>
            <w:r>
              <w:rPr>
                <w:b/>
                <w:color w:val="FFFFFF"/>
                <w:sz w:val="18"/>
              </w:rPr>
              <w:t>Uso documentado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Usuario doméstico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Monitorear consumo, hogares, dispositivos, metas, vacaciones, reportes, recomendaciones y soporte.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Administrador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Supervisar usuarios, hogares, dispositivos, roles, auditoría y errores según permisos.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Soporte técnico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Diagnosticar conectividad, aprovisionamiento, calibración, tickets y estado de dispositivos.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ESP32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8"/>
              </w:rPr>
              <w:t>Publicar telemetría/estado y recibir configuración/comandos; no es un usuario humano.</w:t>
            </w:r>
          </w:p>
        </w:tc>
      </w:tr>
    </w:tbl>
    <w:p/>
    <w:p>
      <w:pPr>
        <w:pStyle w:val="Heading1"/>
      </w:pPr>
      <w:r>
        <w:t>17. Estados y solución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Estado / problema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Qué significa</w:t>
            </w:r>
          </w:p>
        </w:tc>
        <w:tc>
          <w:tcPr>
            <w:tcW w:type="dxa" w:w="3312"/>
            <w:shd w:fill="167C80"/>
          </w:tcPr>
          <w:p>
            <w:r>
              <w:rPr>
                <w:b/>
                <w:color w:val="FFFFFF"/>
                <w:sz w:val="18"/>
              </w:rPr>
              <w:t>Qué debe hacer el usuario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ONLINE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Estado reciente recibido.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Revisar timestamp y consultar lectura.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OFFLINE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hay comunicación reciente.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Verificar energía/red con soporte; no modificar configuraciones al azar.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ERROR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El dispositivo reporta condición de error.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Registrar timestamp, deviceCode y mensaje para soporte.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aparecen datos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Rango sin lecturas, backend no saludable o dispositivo sin publicar.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Revisar rango/estado y escalar con evidencia.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Lectura anormal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Puede requerir calibración o revisión del sensor.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tomarla como medición definitiva; solicitar validación física.</w:t>
            </w:r>
          </w:p>
        </w:tc>
      </w:tr>
      <w:tr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No llega correo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SMTP o cuenta de prueba puede no estar configurado.</w:t>
            </w:r>
          </w:p>
        </w:tc>
        <w:tc>
          <w:tcPr>
            <w:tcW w:type="dxa" w:w="3312"/>
          </w:tcPr>
          <w:p>
            <w:pPr>
              <w:spacing w:after="40"/>
            </w:pPr>
            <w:r>
              <w:rPr>
                <w:sz w:val="18"/>
              </w:rPr>
              <w:t>Reportar fecha, correo enmascarado y operación realizada.</w:t>
            </w:r>
          </w:p>
        </w:tc>
      </w:tr>
    </w:tbl>
    <w:p/>
    <w:p>
      <w:pPr>
        <w:pStyle w:val="Heading1"/>
      </w:pPr>
      <w:r>
        <w:t>18. Uso responsable y límites</w:t>
      </w:r>
    </w:p>
    <w:p>
      <w:pPr>
        <w:pStyle w:val="ListBullet"/>
        <w:spacing w:after="40"/>
      </w:pPr>
      <w:r>
        <w:t>No abrir PostgreSQL ni Mosquitto directamente desde el navegador.</w:t>
      </w:r>
    </w:p>
    <w:p>
      <w:pPr>
        <w:pStyle w:val="ListBullet"/>
        <w:spacing w:after="40"/>
      </w:pPr>
      <w:r>
        <w:t>No introducir contraseñas Wi-Fi en campos distintos del aprovisionamiento autorizado.</w:t>
      </w:r>
    </w:p>
    <w:p>
      <w:pPr>
        <w:pStyle w:val="ListBullet"/>
        <w:spacing w:after="40"/>
      </w:pPr>
      <w:r>
        <w:t>No desconectar la placa durante una actualización o prueba técnica.</w:t>
      </w:r>
    </w:p>
    <w:p>
      <w:pPr>
        <w:pStyle w:val="ListBullet"/>
        <w:spacing w:after="40"/>
      </w:pPr>
      <w:r>
        <w:t>No interpretar una lectura sin calibración como medida certificada.</w:t>
      </w:r>
    </w:p>
    <w:p>
      <w:pPr>
        <w:pStyle w:val="ListBullet"/>
        <w:spacing w:after="40"/>
      </w:pPr>
      <w:r>
        <w:t>El broker local no tiene TLS/ACL; no usarlo para datos reales fuera de un ambiente controlado.</w:t>
      </w:r>
    </w:p>
    <w:p>
      <w:pPr>
        <w:pStyle w:val="ListBullet"/>
        <w:spacing w:after="40"/>
      </w:pPr>
      <w:r>
        <w:t>La compatibilidad móvil, accesibilidad y E2E aún requieren verificación adicional.</w:t>
      </w:r>
    </w:p>
    <w:p>
      <w:pPr>
        <w:ind w:left="240" w:right="240"/>
      </w:pPr>
      <w:r>
        <w:rPr>
          <w:b/>
          <w:color w:val="167C80"/>
        </w:rPr>
        <w:t xml:space="preserve">Control de evidencia. </w:t>
      </w:r>
      <w:r>
        <w:t>Fuentes: PT_HS/README.md, docs/estado-verificado-2026-09-26.md, BK_HS/docs/00-estado-actual.md, BK_HS/docs/03-endpoints.md y endpoints-por-rol.md, firmware/README.md, FT_HS/frontend/package.json, SRS original, diseño conceptual y prototipos locales. Los nombres exactos de botones pueden cambiar entre builds.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color w:val="5B6573"/>
        <w:sz w:val="16"/>
      </w:rPr>
      <w:t xml:space="preserve">HidroSmart | DOC-10 | Versión documental consolidada 1.0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5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167C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67C8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