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67C80"/>
          <w:sz w:val="28"/>
        </w:rPr>
        <w:t>HIDROSMART</w:t>
      </w:r>
    </w:p>
    <w:p>
      <w:pPr>
        <w:pStyle w:val="Title"/>
        <w:jc w:val="center"/>
      </w:pPr>
      <w:r>
        <w:t>Acciones correctivas, preventivas y de mejora</w:t>
      </w:r>
    </w:p>
    <w:p>
      <w:pPr>
        <w:jc w:val="center"/>
      </w:pPr>
      <w:r>
        <w:rPr>
          <w:color w:val="5B6573"/>
          <w:sz w:val="24"/>
        </w:rPr>
        <w:t>Registro de brechas, prioridad y criterio de cierre</w:t>
      </w:r>
    </w:p>
    <w:p>
      <w:pPr>
        <w:jc w:val="center"/>
      </w:pPr>
      <w:r>
        <w:rPr>
          <w:color w:val="5B6573"/>
          <w:sz w:val="20"/>
        </w:rPr>
        <w:t>Versión documental consolidada 1.0</w:t>
        <w:br/>
        <w:t>Fecha de corte: 2026-10-09</w:t>
        <w:br/>
        <w:t>Código documental: DOC-11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Este documento convierte las brechas identificadas en el corte documental en acciones trazables. Una acción se considera cerrada solo con evidencia fechada, responsable, commit o configuración identificable y resultado de prueba.</w:t>
      </w:r>
    </w:p>
    <w:p>
      <w:pPr>
        <w:pStyle w:val="Heading1"/>
      </w:pPr>
      <w:r>
        <w:t>2. Acciones priorizadas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</w:trPr>
        <w:tc>
          <w:tcPr>
            <w:tcW w:type="dxa" w:w="792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080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656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936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1944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Hallazgo</w:t>
            </w:r>
          </w:p>
        </w:tc>
        <w:tc>
          <w:tcPr>
            <w:tcW w:type="dxa" w:w="2880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2232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Cierre</w:t>
            </w:r>
          </w:p>
        </w:tc>
      </w:tr>
      <w:tr>
        <w:tc>
          <w:tcPr>
            <w:tcW w:type="dxa" w:w="79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ACP-01</w:t>
            </w:r>
          </w:p>
        </w:tc>
        <w:tc>
          <w:tcPr>
            <w:tcW w:type="dxa" w:w="1080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Correctiva</w:t>
            </w:r>
          </w:p>
        </w:tc>
        <w:tc>
          <w:tcPr>
            <w:tcW w:type="dxa" w:w="165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Seguridad MQTT de producción</w:t>
            </w:r>
          </w:p>
        </w:tc>
        <w:tc>
          <w:tcPr>
            <w:tcW w:type="dxa" w:w="93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Alta</w:t>
            </w:r>
          </w:p>
        </w:tc>
        <w:tc>
          <w:tcPr>
            <w:tcW w:type="dxa" w:w="194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Local opera sin TLS/ACL.</w:t>
            </w:r>
          </w:p>
        </w:tc>
        <w:tc>
          <w:tcPr>
            <w:tcW w:type="dxa" w:w="2880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Configurar TLS, autenticación, ACL, rotación y probar reconexión.</w:t>
            </w:r>
          </w:p>
        </w:tc>
        <w:tc>
          <w:tcPr>
            <w:tcW w:type="dxa" w:w="223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Prueba de conexión autorizada/no autorizada y evidencia de certificados.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ACP-02</w:t>
            </w:r>
          </w:p>
        </w:tc>
        <w:tc>
          <w:tcPr>
            <w:tcW w:type="dxa" w:w="10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Correctiva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Calibración física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Alta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Hay lecturas físicas, no ensayo de volumen conocido.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Comparar volumen patrón, pulsos y error por rango.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Acta de calibración, datos crudos y aceptación.</w:t>
            </w:r>
          </w:p>
        </w:tc>
      </w:tr>
      <w:tr>
        <w:tc>
          <w:tcPr>
            <w:tcW w:type="dxa" w:w="79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ACP-03</w:t>
            </w:r>
          </w:p>
        </w:tc>
        <w:tc>
          <w:tcPr>
            <w:tcW w:type="dxa" w:w="1080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Preventiva</w:t>
            </w:r>
          </w:p>
        </w:tc>
        <w:tc>
          <w:tcPr>
            <w:tcW w:type="dxa" w:w="165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Backup y restore</w:t>
            </w:r>
          </w:p>
        </w:tc>
        <w:tc>
          <w:tcPr>
            <w:tcW w:type="dxa" w:w="93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Alta</w:t>
            </w:r>
          </w:p>
        </w:tc>
        <w:tc>
          <w:tcPr>
            <w:tcW w:type="dxa" w:w="194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No verificado end-to-end.</w:t>
            </w:r>
          </w:p>
        </w:tc>
        <w:tc>
          <w:tcPr>
            <w:tcW w:type="dxa" w:w="2880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Automatizar backup, restauración y comprobación de integridad.</w:t>
            </w:r>
          </w:p>
        </w:tc>
        <w:tc>
          <w:tcPr>
            <w:tcW w:type="dxa" w:w="223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Log de restore, checksum y prueba de consultas.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ACP-04</w:t>
            </w:r>
          </w:p>
        </w:tc>
        <w:tc>
          <w:tcPr>
            <w:tcW w:type="dxa" w:w="10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Correctiva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SMTP/alertas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Media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Credenciales reales no probadas.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Configurar ambiente seguro y probar entrega/reintento.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Mensaje recibido, log y manejo de error.</w:t>
            </w:r>
          </w:p>
        </w:tc>
      </w:tr>
      <w:tr>
        <w:tc>
          <w:tcPr>
            <w:tcW w:type="dxa" w:w="79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ACP-05</w:t>
            </w:r>
          </w:p>
        </w:tc>
        <w:tc>
          <w:tcPr>
            <w:tcW w:type="dxa" w:w="1080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Mejora</w:t>
            </w:r>
          </w:p>
        </w:tc>
        <w:tc>
          <w:tcPr>
            <w:tcW w:type="dxa" w:w="165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Frontend E2E y accesibilidad</w:t>
            </w:r>
          </w:p>
        </w:tc>
        <w:tc>
          <w:tcPr>
            <w:tcW w:type="dxa" w:w="93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Media</w:t>
            </w:r>
          </w:p>
        </w:tc>
        <w:tc>
          <w:tcPr>
            <w:tcW w:type="dxa" w:w="194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Lint/build no cubren flujos de usuario.</w:t>
            </w:r>
          </w:p>
        </w:tc>
        <w:tc>
          <w:tcPr>
            <w:tcW w:type="dxa" w:w="2880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Añadir pruebas de rutas, responsive, teclado y lector.</w:t>
            </w:r>
          </w:p>
        </w:tc>
        <w:tc>
          <w:tcPr>
            <w:tcW w:type="dxa" w:w="223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Reporte por navegador/dispositivo.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ACP-06</w:t>
            </w:r>
          </w:p>
        </w:tc>
        <w:tc>
          <w:tcPr>
            <w:tcW w:type="dxa" w:w="10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Mejora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Push de tiempo real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Media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UI usa polling HTTP de 5 segundos.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Evaluar WebSocket/SSE solo si el requisito lo exige y medir costo.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Decisión arquitectónica y prueba de latencia.</w:t>
            </w:r>
          </w:p>
        </w:tc>
      </w:tr>
      <w:tr>
        <w:tc>
          <w:tcPr>
            <w:tcW w:type="dxa" w:w="79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ACP-07</w:t>
            </w:r>
          </w:p>
        </w:tc>
        <w:tc>
          <w:tcPr>
            <w:tcW w:type="dxa" w:w="1080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Preventiva</w:t>
            </w:r>
          </w:p>
        </w:tc>
        <w:tc>
          <w:tcPr>
            <w:tcW w:type="dxa" w:w="165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Sincronización documental</w:t>
            </w:r>
          </w:p>
        </w:tc>
        <w:tc>
          <w:tcPr>
            <w:tcW w:type="dxa" w:w="936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Media</w:t>
            </w:r>
          </w:p>
        </w:tc>
        <w:tc>
          <w:tcPr>
            <w:tcW w:type="dxa" w:w="1944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Hay versiones locales con cifras/tecnologías históricas.</w:t>
            </w:r>
          </w:p>
        </w:tc>
        <w:tc>
          <w:tcPr>
            <w:tcW w:type="dxa" w:w="2880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Usar DOC-00 y fecha de corte en cada entrega.</w:t>
            </w:r>
          </w:p>
        </w:tc>
        <w:tc>
          <w:tcPr>
            <w:tcW w:type="dxa" w:w="223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Matriz actualizada y revisión cruzada.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ACP-08</w:t>
            </w:r>
          </w:p>
        </w:tc>
        <w:tc>
          <w:tcPr>
            <w:tcW w:type="dxa" w:w="10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Mejora</w:t>
            </w:r>
          </w:p>
        </w:tc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Identidad institucional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Alta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PDF y documentos locales muestran códigos/fichas distintos.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Confirmar código, programa, ficha, centro y periodo con coordinación.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Acta o fuente institucional aprobada.</w:t>
            </w:r>
          </w:p>
        </w:tc>
      </w:tr>
    </w:tbl>
    <w:p>
      <w:pPr>
        <w:spacing w:after="20"/>
      </w:pPr>
    </w:p>
    <w:p>
      <w:pPr>
        <w:pStyle w:val="Heading1"/>
      </w:pPr>
      <w:r>
        <w:t>3. Clasificación de causas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Causa</w:t>
            </w:r>
          </w:p>
        </w:tc>
        <w:tc>
          <w:tcPr>
            <w:tcW w:type="dxa" w:w="3312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Ejemplo</w:t>
            </w:r>
          </w:p>
        </w:tc>
        <w:tc>
          <w:tcPr>
            <w:tcW w:type="dxa" w:w="3312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Respuesta</w:t>
            </w:r>
          </w:p>
        </w:tc>
      </w:tr>
      <w:tr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Evidencia incompleta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No hay prueba de backup/restore.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Planificar prueba y registrar resultado.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Deriva documental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WebSockets/cloud en documento antiguo.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Comparar contra código y marcar histórico.</w:t>
            </w:r>
          </w:p>
        </w:tc>
      </w:tr>
      <w:tr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Dependencia externa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SMTP, certificados y hardware.</w:t>
            </w:r>
          </w:p>
        </w:tc>
        <w:tc>
          <w:tcPr>
            <w:tcW w:type="dxa" w:w="3312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Definir ambiente, responsable y criterio de aceptación.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Riesgo operativo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Broker local anónimo.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Endurecer configuración antes de producción.</w:t>
            </w:r>
          </w:p>
        </w:tc>
      </w:tr>
    </w:tbl>
    <w:p>
      <w:pPr>
        <w:spacing w:after="20"/>
      </w:pPr>
    </w:p>
    <w:p>
      <w:pPr>
        <w:pStyle w:val="Heading1"/>
      </w:pPr>
      <w:r>
        <w:t>4. Seguimiento</w:t>
      </w:r>
    </w:p>
    <w:p>
      <w:pPr>
        <w:pStyle w:val="ListBullet"/>
        <w:spacing w:after="40"/>
      </w:pPr>
      <w:r>
        <w:t>Registrar responsable y fecha objetivo fuera de este documento o en el sistema de gestión aprobado.</w:t>
      </w:r>
    </w:p>
    <w:p>
      <w:pPr>
        <w:pStyle w:val="ListBullet"/>
        <w:spacing w:after="40"/>
      </w:pPr>
      <w:r>
        <w:t>No cerrar por declaración; adjuntar evidencia reproducible.</w:t>
      </w:r>
    </w:p>
    <w:p>
      <w:pPr>
        <w:pStyle w:val="ListBullet"/>
        <w:spacing w:after="40"/>
      </w:pPr>
      <w:r>
        <w:t>Revisar acciones en cada cambio de rama o corte del repositorio.</w:t>
      </w:r>
    </w:p>
    <w:p>
      <w:pPr>
        <w:pStyle w:val="ListBullet"/>
        <w:spacing w:after="40"/>
      </w:pPr>
      <w:r>
        <w:t>Priorizar seguridad, integridad de datos, calibración y recuperación antes de ampliar funcionalidades.</w:t>
      </w:r>
    </w:p>
    <w:p>
      <w:pPr>
        <w:spacing w:before="80" w:after="160"/>
        <w:ind w:left="216" w:right="216"/>
      </w:pPr>
      <w:r>
        <w:rPr>
          <w:b/>
          <w:color w:val="167C80"/>
        </w:rPr>
        <w:t xml:space="preserve">Nota de control documental. </w:t>
      </w:r>
      <w:r>
        <w:t>Las acciones se derivan de docs/estado-verificado-2026-09-26.md, contrato MQTT, README de firmware y discrepancias entre documentación local y código. No se asignan responsables o fechas no proporcionados por el proyecto.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color w:val="5B6573"/>
        <w:sz w:val="16"/>
      </w:rPr>
      <w:t xml:space="preserve">HidroSmart | DOC-11 | Versión documental consolidada 1.0 |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5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67C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67C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