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ACTA GENERAL DEL PROCESO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jc w:val="center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HIDRO SMART — Control Inteligente del Consumo de Agua en el Hogar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40" w:lineRule="auto"/>
        <w:jc w:val="center"/>
        <w:rPr/>
      </w:pPr>
      <w:r w:rsidDel="00000000" w:rsidR="00000000" w:rsidRPr="00000000">
        <w:rPr>
          <w:color w:val="595959"/>
          <w:rtl w:val="0"/>
        </w:rPr>
        <w:t xml:space="preserve">SENA — Programación de Software — Ficha 3145555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20" w:before="40" w:lineRule="auto"/>
        <w:jc w:val="center"/>
        <w:rPr/>
      </w:pPr>
      <w:r w:rsidDel="00000000" w:rsidR="00000000" w:rsidRPr="00000000">
        <w:rPr>
          <w:color w:val="595959"/>
          <w:rtl w:val="0"/>
        </w:rPr>
        <w:t xml:space="preserve">Versión 2.0 — 2025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10 de febrero de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 de abril de 2025 (Fase de análisis y diseño)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Centro de Formación SENA — Programa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Instructor / Asesor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José de Jesús Motta Vargas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Emerson Calet Molano Cardozo (Programador) </w:t>
            </w:r>
          </w:p>
          <w:p w:rsidR="00000000" w:rsidDel="00000000" w:rsidP="00000000" w:rsidRDefault="00000000" w:rsidRPr="00000000" w14:paraId="0000001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José Alejandro Montealegre Rodríguez (Base de Datos)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José David Amaya Mosquera (Analista)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Alcance del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Fase de análisis y documentación (SRS). El desarrollo completo abarca 6 meses (enero–junio 2026, ver Diagrama de Gantt v2).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f3864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1. Acercamiento al cliente</w:t>
      </w:r>
    </w:p>
    <w:p w:rsidR="00000000" w:rsidDel="00000000" w:rsidP="00000000" w:rsidRDefault="00000000" w:rsidRPr="00000000" w14:paraId="00000018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El 10 de febrero de 2025 el equipo presentó al instructor-cliente la idea inicial del proyecto Hidro Smart: una solución tecnológica para el monitoreo y control del consumo doméstico de agua mediante aplicación móvil y medidor inteligente IoT.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El cliente manifestó la necesidad de una herramienta que permita visualizar el consumo diario por actividad (ducha, lavado, aseo, cocina), generar alertas de sobreconsumo y ofrecer recomendaciones de ahorro. Se enfatizó que el sistema debía ser accesible, intuitivo y compatible con diferentes dispositivos móviles, operando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El equipo propuso un modelo de negocio tipo Software as a Service (SaaS), donde el usuario paga una suscripción mensual por el uso y mantenimiento de la plataforma, reduciendo los costos iniciales de adquisición. Este modelo quedó consignado en el Acuerdo de Licencia y Colaboración Comercial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El cliente aprobó la propuesta destacando su valor social, ambiental y tecnológico, y se acordó avanzar a la fase de análisis y diseño del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1f3864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2. Definición de requerimientos</w:t>
      </w:r>
    </w:p>
    <w:p w:rsidR="00000000" w:rsidDel="00000000" w:rsidP="00000000" w:rsidRDefault="00000000" w:rsidRPr="00000000" w14:paraId="0000001E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El 18 de febrero de 2025 se definieron los requerimientos funcionales y no funcionales conforme a la norma IEEE 830-1998, organizados en 5 módulos principales según el documento SRS v1: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"/>
        <w:gridCol w:w="2808"/>
        <w:gridCol w:w="5616"/>
        <w:tblGridChange w:id="0">
          <w:tblGrid>
            <w:gridCol w:w="936"/>
            <w:gridCol w:w="2808"/>
            <w:gridCol w:w="56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 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resumida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Autenticación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Registro, inicio de sesión, tokens JWT, recuperación de contraseña, roles y suspensión de cuentas.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Gestión de dispositivos 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Registro de sensores ESP32, asignación de ID único, suspensión y reactivación.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Proyectos / Hogares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Creación de hogares con estratificación, usuarios titulares/miembros y dispositivos.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Configuraciones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Topes de consumo, alertas, recomendaciones, idiomas, moneda y auditoría.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Reportes y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Gráficos en tiempo real, históricos, modelo predictivo, alertas y proyectos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RF6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Modo Vacaciones / Ausencias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Suspende notificaciones no críticas durante ausencias, manteniendo alertas de seguridad (fugas, desconexión).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RF7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Historial de Conectividad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Almacena y grafica evolución de señal, batería, voltaje y temperatura de cada dispositivo para diagnóstico.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RF8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Autogestión de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Actualización de perfil, recuperación de contraseña, eliminación de cuenta (derecho al olvido).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Metas y presupuesto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Establecimiento de objetivos mensuales de consumo (m³) y límites de gasto (COP), con seguimiento de progreso y proyecciones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Administración avanzada de dispositivos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Suspender, reactivar, desvincular del hogar y configurar umbral de alerta individual.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Sistema de soporte técnico (tickets)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Gestión de incidencias y consultas con categorías, prioridades y seguimiento de estado.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Adicionalmente se documentaron 9 grupos de requerimientos no funcionales (RNF1–RNF</w:t>
      </w: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color w:val="000000"/>
          <w:rtl w:val="0"/>
        </w:rPr>
        <w:t xml:space="preserve">): Rendimiento, Usabilidad, Compatibilidad, Disponibilidad y Confiabilidad, Seguridad, Gestión y Operación, Portabilidad, Sostenibilidad y Cumplimiento Normativo (Ley 1581 de 2012, ISO/IEC 27001, WCAG 2.1), y Requerimientos Técnicos.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El documento SRS fue aprobado por el instructor y constituye la línea base de requerimientos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1f3864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3. Asignación de roles y tareas del equipo</w:t>
      </w:r>
    </w:p>
    <w:p w:rsidR="00000000" w:rsidDel="00000000" w:rsidP="00000000" w:rsidRDefault="00000000" w:rsidRPr="00000000" w14:paraId="00000049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El 25 de febrero de 2025 se definieron los roles y responsabilidades de cada integrante: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1872"/>
        <w:gridCol w:w="4368"/>
        <w:tblGridChange w:id="0">
          <w:tblGrid>
            <w:gridCol w:w="3120"/>
            <w:gridCol w:w="1872"/>
            <w:gridCol w:w="4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Responsabilidades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José David Amaya Mosquera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Analista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Análisis funcional, documentación de requerimientos, diseño de casos de uso, comunicación directa con el cliente, actualización del SRS y manuales.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Emerson Calet Molano Cardozo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Desarrollo de la API (Node.js), integración MQTT, gestión de WebSockets, firmware ESP32, notificaciones push, implementación de patrones arquitectónicos (Event Bus, Circuit Breaker), y optimización del backend.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José Alejandro Montealegre 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Diseño, normalización e implementación de la BD (PostgreSQL), consultas SQL, procedimientos almacenados, integridad de datos, pruebas unitarias y de integración, gestión de backups.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José de Jesús Motta Vargas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Asesor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Supervisión del avance, revisión de entregables, retroalimentación técnica y alineación con estándares SENA.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A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El equipo acordó mantener reuniones semanales de seguimiento y enviar reportes de avance documentados, siguiendo la metodología ágil Scrum con sprints de 2 semanas.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1f3864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4. Seguimiento del proyecto — 15 de marzo de 2025</w:t>
      </w:r>
    </w:p>
    <w:p w:rsidR="00000000" w:rsidDel="00000000" w:rsidP="00000000" w:rsidRDefault="00000000" w:rsidRPr="00000000" w14:paraId="0000005E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En el encuentro del 15 de marzo se revisó el progreso del proyecto, estimado en un 70% de la fase de análisis y documentación completada. Los avances y su estado fueron los siguientes: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"/>
        <w:gridCol w:w="4680"/>
        <w:gridCol w:w="1872"/>
        <w:gridCol w:w="1872"/>
        <w:tblGridChange w:id="0">
          <w:tblGrid>
            <w:gridCol w:w="936"/>
            <w:gridCol w:w="4680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Avance reportado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Diseño de la base de datos y estructuras principales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José Alejandro 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sdt>
              <w:sdtPr>
                <w:id w:val="-188094894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rtl w:val="0"/>
                  </w:rPr>
                  <w:t xml:space="preserve">✓ 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Módulo de gestión de usuarios y roles (autenticación y control de acceso).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Emerson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sdt>
              <w:sdtPr>
                <w:id w:val="-87228758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rtl w:val="0"/>
                  </w:rPr>
                  <w:t xml:space="preserve">✓ 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Pruebas de conexión entre el medidor IoT (ESP32) y la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Emerson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sdt>
              <w:sdtPr>
                <w:id w:val="132682579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rtl w:val="0"/>
                  </w:rPr>
                  <w:t xml:space="preserve">✓ 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Detección de fugas de agua por flujo continuo con alertas automáticas.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Emerson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sdt>
              <w:sdtPr>
                <w:id w:val="-167621821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rtl w:val="0"/>
                  </w:rPr>
                  <w:t xml:space="preserve">✓ 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Optimización de código y compatibilidad Android 9–14.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7f6000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Integración final y pruebas completas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843c0c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Nota: El 70% de avance corresponde a la fase de análisis y documentación, no al desarrollo total del producto. El cronograma completo de 6 meses (enero–junio 2026)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ottom w:color="1f3864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Roboto" w:cs="Roboto" w:eastAsia="Roboto" w:hAnsi="Roboto"/>
          <w:color w:val="0f1115"/>
          <w:sz w:val="33"/>
          <w:szCs w:val="33"/>
          <w:rtl w:val="0"/>
        </w:rPr>
        <w:t xml:space="preserve">Cambios en la arquitectura y tecnologías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" w:cs="Roboto" w:eastAsia="Roboto" w:hAnsi="Roboto"/>
          <w:color w:val="0f1115"/>
          <w:sz w:val="33"/>
          <w:szCs w:val="33"/>
          <w:rtl w:val="0"/>
        </w:rPr>
        <w:t xml:space="preserve">Julio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bottom w:color="1f3864" w:space="1" w:sz="6" w:val="single"/>
        </w:pBdr>
        <w:spacing w:after="160" w:before="160" w:lineRule="auto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Durante la fase de diseño y construcción, el equipo decidió realizar ajustes significativos en la arquitectura y tecnologías del sistema para mejorar la escalabilidad, mantenibilidad y experiencia de usuario: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pStyle w:val="Heading3"/>
        <w:pBdr>
          <w:bottom w:color="1f3864" w:space="1" w:sz="6" w:val="single"/>
        </w:pBdr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eading=h.n2ljirsit5q5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5.1 Cambio de tecnología frontend</w:t>
      </w:r>
    </w:p>
    <w:p w:rsidR="00000000" w:rsidDel="00000000" w:rsidP="00000000" w:rsidRDefault="00000000" w:rsidRPr="00000000" w14:paraId="00000083">
      <w:pPr>
        <w:pBdr>
          <w:bottom w:color="1f3864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1f3864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r w:rsidDel="00000000" w:rsidR="00000000" w:rsidRPr="00000000">
        <w:rPr>
          <w:rtl w:val="0"/>
        </w:rPr>
        <w:t xml:space="preserve">Conclusión general del proceso</w:t>
      </w:r>
    </w:p>
    <w:p w:rsidR="00000000" w:rsidDel="00000000" w:rsidP="00000000" w:rsidRDefault="00000000" w:rsidRPr="00000000" w14:paraId="00000086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El proyecto Hidro Smart cumplió los objetivos técnicos y sociales de su fase de análisis y documentación. La comunicación fluida entre instructor, cliente y equipo permitió identificar con precisión los requerimientos y construir una propuesta viable, funcional e innovadora para el monitoreo inteligente del agua en hogares colombianos.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El trabajo colaborativo, la correcta aplicación de la norma IEEE 830-1998, el modelo de negocio SaaS y el cumplimiento de la Ley 1581 de 2012 fueron claves para la solidez del proyecto. La siguiente fase —desarrollo, pruebas e implantación— se ejecutará conforme al Diagrama de Gantt v2 y el SRS aprobado.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bottom w:color="1f3864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tl w:val="0"/>
        </w:rPr>
        <w:t xml:space="preserve">Firmas de aprobación</w:t>
      </w:r>
    </w:p>
    <w:p w:rsidR="00000000" w:rsidDel="00000000" w:rsidP="00000000" w:rsidRDefault="00000000" w:rsidRPr="00000000" w14:paraId="0000008A">
      <w:pPr>
        <w:spacing w:after="80" w:before="8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Los abajo firmantes certifican que el contenido de esta acta refleja fielmente los acuerdos y avances del proyecto Hidro Smart durante la fase de análisis y documentación.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3"/>
        <w:gridCol w:w="2343"/>
        <w:gridCol w:w="2343"/>
        <w:gridCol w:w="2343"/>
        <w:tblGridChange w:id="0">
          <w:tblGrid>
            <w:gridCol w:w="2343"/>
            <w:gridCol w:w="2343"/>
            <w:gridCol w:w="2343"/>
            <w:gridCol w:w="23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INSTRUCTOR / ASESOR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ANALISTA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José de Jesús Motta Vargas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José David Amaya Mosquera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Emerson Calet Molano Cardozo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José Alejandro Montealegre 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C.C. 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C.C. 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C.C. 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C.C. 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Fecha: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Fecha: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Fecha: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Fecha: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6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Cd9PQ6lHJ5cWSOOhCC3vO76kPg==">CgMxLjAaHQoBMBIYChYIB0ISEhBBcmlhbCBVbmljb2RlIE1TGh0KATESGAoWCAdCEhIQQXJpYWwgVW5pY29kZSBNUxodCgEyEhgKFggHQhISEEFyaWFsIFVuaWNvZGUgTVMaHQoBMxIYChYIB0ISEhBBcmlhbCBVbmljb2RlIE1TMg5oLm4ybGppcnNpdDVxNTgAciExbVhaYzhMaTVRdnVkRHJKWTFnUWZ5LW8xYkdaLXNRb0s=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