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20" w:after="0" w:line="480" w:lineRule="auto"/>
        <w:jc w:val="center"/>
      </w:pPr>
      <w:r>
        <w:rPr>
          <w:rFonts w:ascii="Arial" w:hAnsi="Arial" w:cs="Arial" w:eastAsia="Arial"/>
          <w:b/>
          <w:color w:val="000000"/>
          <w:sz w:val="22"/>
        </w:rPr>
        <w:t>Anteproyecto Hidro Smart</w:t>
      </w:r>
    </w:p>
    <w:p>
      <w:pPr>
        <w:spacing w:after="0" w:before="0" w:line="480" w:lineRule="auto"/>
        <w:jc w:val="center"/>
      </w:pPr>
      <w:r>
        <w:rPr>
          <w:rFonts w:ascii="Arial" w:hAnsi="Arial" w:cs="Arial" w:eastAsia="Arial"/>
          <w:b w:val="0"/>
          <w:color w:val="000000"/>
          <w:sz w:val="22"/>
        </w:rPr>
        <w:t>Control inteligente del consumo de agua en el hogar</w:t>
      </w:r>
    </w:p>
    <w:p>
      <w:pPr>
        <w:spacing w:after="0" w:before="0" w:line="480" w:lineRule="auto"/>
        <w:jc w:val="center"/>
      </w:pPr>
      <w:r>
        <w:rPr>
          <w:rFonts w:ascii="Arial" w:hAnsi="Arial" w:cs="Arial" w:eastAsia="Arial"/>
          <w:b w:val="0"/>
          <w:color w:val="000000"/>
          <w:sz w:val="22"/>
        </w:rPr>
        <w:t>Tecnólogo en Análisis y Desarrollo de Software</w:t>
      </w:r>
    </w:p>
    <w:p>
      <w:pPr>
        <w:spacing w:after="0" w:before="0" w:line="480" w:lineRule="auto"/>
        <w:jc w:val="center"/>
      </w:pPr>
      <w:r>
        <w:rPr>
          <w:rFonts w:ascii="Arial" w:hAnsi="Arial" w:cs="Arial" w:eastAsia="Arial"/>
          <w:b w:val="0"/>
          <w:color w:val="000000"/>
          <w:sz w:val="22"/>
        </w:rPr>
        <w:t>José David Amaya Mosquera</w:t>
      </w:r>
    </w:p>
    <w:p>
      <w:pPr>
        <w:spacing w:after="0" w:before="0" w:line="480" w:lineRule="auto"/>
        <w:jc w:val="center"/>
      </w:pPr>
      <w:r>
        <w:rPr>
          <w:rFonts w:ascii="Arial" w:hAnsi="Arial" w:cs="Arial" w:eastAsia="Arial"/>
          <w:b w:val="0"/>
          <w:color w:val="000000"/>
          <w:sz w:val="22"/>
        </w:rPr>
        <w:t>Emerson Calet Molano Cardozo</w:t>
      </w:r>
    </w:p>
    <w:p>
      <w:pPr>
        <w:spacing w:after="0" w:before="0" w:line="480" w:lineRule="auto"/>
        <w:jc w:val="center"/>
      </w:pPr>
      <w:r>
        <w:rPr>
          <w:rFonts w:ascii="Arial" w:hAnsi="Arial" w:cs="Arial" w:eastAsia="Arial"/>
          <w:b w:val="0"/>
          <w:color w:val="000000"/>
          <w:sz w:val="22"/>
        </w:rPr>
        <w:t>José Alejandro Montealegre Rodríguez</w:t>
      </w:r>
    </w:p>
    <w:p>
      <w:pPr>
        <w:spacing w:before="0" w:after="0" w:line="480" w:lineRule="auto"/>
        <w:jc w:val="center"/>
      </w:pPr>
      <w:r>
        <w:rPr>
          <w:rFonts w:ascii="Arial" w:hAnsi="Arial" w:cs="Arial" w:eastAsia="Arial"/>
          <w:b w:val="0"/>
          <w:color w:val="000000"/>
          <w:sz w:val="22"/>
        </w:rPr>
        <w:t>Instructor José de Jesús Motta</w:t>
      </w:r>
    </w:p>
    <w:p>
      <w:pPr>
        <w:spacing w:after="0" w:before="0" w:line="480" w:lineRule="auto"/>
        <w:jc w:val="center"/>
      </w:pPr>
      <w:r>
        <w:rPr>
          <w:rFonts w:ascii="Arial" w:hAnsi="Arial" w:cs="Arial" w:eastAsia="Arial"/>
          <w:b w:val="0"/>
          <w:color w:val="000000"/>
          <w:sz w:val="22"/>
        </w:rPr>
        <w:t>Servicio Nacional de Aprendizaje SENA</w:t>
      </w:r>
    </w:p>
    <w:p>
      <w:pPr>
        <w:spacing w:before="0" w:after="0" w:line="480" w:lineRule="auto"/>
        <w:jc w:val="center"/>
      </w:pPr>
      <w:r>
        <w:rPr>
          <w:rFonts w:ascii="Arial" w:hAnsi="Arial" w:cs="Arial" w:eastAsia="Arial"/>
          <w:b w:val="0"/>
          <w:color w:val="000000"/>
          <w:sz w:val="22"/>
        </w:rPr>
        <w:t>2026</w:t>
      </w:r>
    </w:p>
    <w:p>
      <w:pPr>
        <w:spacing w:before="0" w:after="0" w:line="480" w:lineRule="auto"/>
      </w:pPr>
      <w:r>
        <w:rPr>
          <w:rFonts w:ascii="Arial" w:hAnsi="Arial" w:cs="Arial" w:eastAsia="Arial"/>
          <w:color w:val="000000"/>
          <w:sz w:val="22"/>
        </w:rPr>
        <w:br w:type="page"/>
      </w:r>
    </w:p>
    <w:p>
      <w:pPr>
        <w:pStyle w:val="Heading1"/>
        <w:spacing w:before="0" w:after="0" w:line="480" w:lineRule="auto"/>
        <w:jc w:val="center"/>
      </w:pPr>
      <w:r>
        <w:rPr>
          <w:rFonts w:ascii="Arial" w:hAnsi="Arial" w:cs="Arial" w:eastAsia="Arial"/>
          <w:b/>
          <w:color w:val="000000"/>
          <w:sz w:val="22"/>
        </w:rPr>
        <w:t>Contenido</w:t>
      </w:r>
    </w:p>
    <w:p>
      <w:pPr>
        <w:tabs>
          <w:tab w:pos="9360" w:val="right" w:leader="dot"/>
        </w:tabs>
        <w:spacing w:after="0" w:before="0" w:line="480" w:lineRule="auto"/>
        <w:ind w:left="0"/>
        <w:jc w:val="left"/>
      </w:pPr>
      <w:r>
        <w:rPr>
          <w:rFonts w:ascii="Arial" w:hAnsi="Arial" w:cs="Arial" w:eastAsia="Arial"/>
          <w:color w:val="000000"/>
          <w:sz w:val="22"/>
        </w:rPr>
        <w:t>1  Planteamiento del problema</w:t>
        <w:tab/>
        <w:t>3</w:t>
      </w:r>
    </w:p>
    <w:p>
      <w:pPr>
        <w:tabs>
          <w:tab w:pos="9360" w:val="right" w:leader="dot"/>
        </w:tabs>
        <w:spacing w:after="0" w:before="0" w:line="480" w:lineRule="auto"/>
        <w:ind w:left="0"/>
        <w:jc w:val="left"/>
      </w:pPr>
      <w:r>
        <w:rPr>
          <w:rFonts w:ascii="Arial" w:hAnsi="Arial" w:cs="Arial" w:eastAsia="Arial"/>
          <w:color w:val="000000"/>
          <w:sz w:val="22"/>
        </w:rPr>
        <w:t>2  Justificación del proyecto</w:t>
        <w:tab/>
        <w:t>4</w:t>
      </w:r>
    </w:p>
    <w:p>
      <w:pPr>
        <w:tabs>
          <w:tab w:pos="9360" w:val="right" w:leader="dot"/>
        </w:tabs>
        <w:spacing w:after="0" w:before="0" w:line="480" w:lineRule="auto"/>
        <w:ind w:left="0"/>
        <w:jc w:val="left"/>
      </w:pPr>
      <w:r>
        <w:rPr>
          <w:rFonts w:ascii="Arial" w:hAnsi="Arial" w:cs="Arial" w:eastAsia="Arial"/>
          <w:color w:val="000000"/>
          <w:sz w:val="22"/>
        </w:rPr>
        <w:t>3  Objetivo general</w:t>
        <w:tab/>
        <w:t>4</w:t>
      </w:r>
    </w:p>
    <w:p>
      <w:pPr>
        <w:tabs>
          <w:tab w:pos="9360" w:val="right" w:leader="dot"/>
        </w:tabs>
        <w:spacing w:after="0" w:before="0" w:line="480" w:lineRule="auto"/>
        <w:ind w:left="0"/>
        <w:jc w:val="left"/>
      </w:pPr>
      <w:r>
        <w:rPr>
          <w:rFonts w:ascii="Arial" w:hAnsi="Arial" w:cs="Arial" w:eastAsia="Arial"/>
          <w:color w:val="000000"/>
          <w:sz w:val="22"/>
        </w:rPr>
        <w:t>4  Objetivos específicos</w:t>
        <w:tab/>
        <w:t>5</w:t>
      </w:r>
    </w:p>
    <w:p>
      <w:pPr>
        <w:tabs>
          <w:tab w:pos="9360" w:val="right" w:leader="dot"/>
        </w:tabs>
        <w:spacing w:after="0" w:before="0" w:line="480" w:lineRule="auto"/>
        <w:ind w:left="0"/>
        <w:jc w:val="left"/>
      </w:pPr>
      <w:r>
        <w:rPr>
          <w:rFonts w:ascii="Arial" w:hAnsi="Arial" w:cs="Arial" w:eastAsia="Arial"/>
          <w:color w:val="000000"/>
          <w:sz w:val="22"/>
        </w:rPr>
        <w:t>5  Alcance del proyecto</w:t>
        <w:tab/>
        <w:t>5</w:t>
      </w:r>
    </w:p>
    <w:p>
      <w:pPr>
        <w:tabs>
          <w:tab w:pos="9360" w:val="right" w:leader="dot"/>
        </w:tabs>
        <w:spacing w:after="0" w:before="0" w:line="480" w:lineRule="auto"/>
        <w:ind w:left="0"/>
        <w:jc w:val="left"/>
      </w:pPr>
      <w:r>
        <w:rPr>
          <w:rFonts w:ascii="Arial" w:hAnsi="Arial" w:cs="Arial" w:eastAsia="Arial"/>
          <w:color w:val="000000"/>
          <w:sz w:val="22"/>
        </w:rPr>
        <w:t>6  Beneficiarios del proyecto</w:t>
        <w:tab/>
        <w:t>6</w:t>
      </w:r>
    </w:p>
    <w:p>
      <w:pPr>
        <w:tabs>
          <w:tab w:pos="9360" w:val="right" w:leader="dot"/>
        </w:tabs>
        <w:spacing w:after="0" w:before="0" w:line="480" w:lineRule="auto"/>
        <w:ind w:left="0"/>
        <w:jc w:val="left"/>
      </w:pPr>
      <w:r>
        <w:rPr>
          <w:rFonts w:ascii="Arial" w:hAnsi="Arial" w:cs="Arial" w:eastAsia="Arial"/>
          <w:color w:val="000000"/>
          <w:sz w:val="22"/>
        </w:rPr>
        <w:t>7  Impacto del proyecto</w:t>
        <w:tab/>
        <w:t>7</w:t>
      </w:r>
    </w:p>
    <w:p>
      <w:pPr>
        <w:tabs>
          <w:tab w:pos="9360" w:val="right" w:leader="dot"/>
        </w:tabs>
        <w:spacing w:after="0" w:before="0" w:line="480" w:lineRule="auto"/>
        <w:ind w:left="0"/>
        <w:jc w:val="left"/>
      </w:pPr>
      <w:r>
        <w:rPr>
          <w:rFonts w:ascii="Arial" w:hAnsi="Arial" w:cs="Arial" w:eastAsia="Arial"/>
          <w:color w:val="000000"/>
          <w:sz w:val="22"/>
        </w:rPr>
        <w:t>8  Restricciones del proyecto</w:t>
        <w:tab/>
        <w:t>7</w:t>
      </w:r>
    </w:p>
    <w:p>
      <w:pPr>
        <w:tabs>
          <w:tab w:pos="9360" w:val="right" w:leader="dot"/>
        </w:tabs>
        <w:spacing w:after="0" w:before="0" w:line="480" w:lineRule="auto"/>
        <w:ind w:left="0"/>
        <w:jc w:val="left"/>
      </w:pPr>
      <w:r>
        <w:rPr>
          <w:rFonts w:ascii="Arial" w:hAnsi="Arial" w:cs="Arial" w:eastAsia="Arial"/>
          <w:color w:val="000000"/>
          <w:sz w:val="22"/>
        </w:rPr>
        <w:t>9  Riesgos del proyecto</w:t>
        <w:tab/>
        <w:t>8</w:t>
      </w:r>
    </w:p>
    <w:p>
      <w:pPr>
        <w:tabs>
          <w:tab w:pos="9360" w:val="right" w:leader="dot"/>
        </w:tabs>
        <w:spacing w:after="0" w:before="0" w:line="480" w:lineRule="auto"/>
        <w:ind w:left="0"/>
        <w:jc w:val="left"/>
      </w:pPr>
      <w:r>
        <w:rPr>
          <w:rFonts w:ascii="Arial" w:hAnsi="Arial" w:cs="Arial" w:eastAsia="Arial"/>
          <w:color w:val="000000"/>
          <w:sz w:val="22"/>
        </w:rPr>
        <w:t>10 Productos o resultados del proyecto</w:t>
        <w:tab/>
        <w:t>8</w:t>
      </w:r>
    </w:p>
    <w:p>
      <w:pPr>
        <w:tabs>
          <w:tab w:pos="9360" w:val="right" w:leader="dot"/>
        </w:tabs>
        <w:spacing w:after="0" w:before="0" w:line="480" w:lineRule="auto"/>
        <w:ind w:left="0"/>
        <w:jc w:val="left"/>
      </w:pPr>
      <w:r>
        <w:rPr>
          <w:rFonts w:ascii="Arial" w:hAnsi="Arial" w:cs="Arial" w:eastAsia="Arial"/>
          <w:color w:val="000000"/>
          <w:sz w:val="22"/>
        </w:rPr>
        <w:t>Conclusión</w:t>
        <w:tab/>
        <w:t>9</w:t>
      </w:r>
    </w:p>
    <w:p>
      <w:pPr>
        <w:tabs>
          <w:tab w:pos="9360" w:val="right" w:leader="dot"/>
        </w:tabs>
        <w:spacing w:after="0" w:before="0" w:line="480" w:lineRule="auto"/>
        <w:ind w:left="0"/>
        <w:jc w:val="left"/>
      </w:pPr>
      <w:r>
        <w:rPr>
          <w:rFonts w:ascii="Arial" w:hAnsi="Arial" w:cs="Arial" w:eastAsia="Arial"/>
          <w:color w:val="000000"/>
          <w:sz w:val="22"/>
        </w:rPr>
        <w:t>Referencias</w:t>
        <w:tab/>
        <w:t>10</w:t>
      </w:r>
    </w:p>
    <w:p>
      <w:pPr>
        <w:spacing w:before="0" w:after="0" w:line="480" w:lineRule="auto"/>
      </w:pPr>
      <w:r>
        <w:rPr>
          <w:rFonts w:ascii="Arial" w:hAnsi="Arial" w:cs="Arial" w:eastAsia="Arial"/>
          <w:color w:val="000000"/>
          <w:sz w:val="22"/>
        </w:rPr>
        <w:br w:type="page"/>
      </w:r>
    </w:p>
    <w:p>
      <w:pPr>
        <w:pStyle w:val="Heading1"/>
        <w:spacing w:before="0" w:after="0" w:line="480" w:lineRule="auto"/>
        <w:jc w:val="center"/>
      </w:pPr>
      <w:r>
        <w:rPr>
          <w:rFonts w:ascii="Arial" w:hAnsi="Arial" w:cs="Arial" w:eastAsia="Arial"/>
          <w:b/>
          <w:color w:val="000000"/>
          <w:sz w:val="22"/>
        </w:rPr>
        <w:t>Hidro Smart</w:t>
      </w:r>
    </w:p>
    <w:p>
      <w:pPr>
        <w:spacing w:before="0" w:after="0" w:line="480" w:lineRule="auto"/>
        <w:ind w:firstLine="720"/>
        <w:jc w:val="left"/>
      </w:pPr>
      <w:r>
        <w:rPr>
          <w:rFonts w:ascii="Arial" w:hAnsi="Arial" w:cs="Arial" w:eastAsia="Arial"/>
          <w:color w:val="000000"/>
          <w:sz w:val="22"/>
        </w:rPr>
        <w:t>Hidro Smart propone una herramienta digital para que los hogares consulten sus lecturas de agua y comprendan mejor los cambios en su consumo. El proyecto cuenta con un prototipo de software; la integración física del medidor, la calibración y la medición de ahorro requieren validación antes de presentar esos resultados como comprobados.</w:t>
      </w:r>
    </w:p>
    <w:p>
      <w:pPr>
        <w:pStyle w:val="Heading1"/>
        <w:spacing w:before="0" w:after="0" w:line="480" w:lineRule="auto"/>
        <w:jc w:val="center"/>
      </w:pPr>
      <w:r>
        <w:rPr>
          <w:rFonts w:ascii="Arial" w:hAnsi="Arial" w:cs="Arial" w:eastAsia="Arial"/>
          <w:b/>
          <w:color w:val="000000"/>
          <w:sz w:val="22"/>
        </w:rPr>
        <w:t>1 Planteamiento del problema</w:t>
      </w:r>
    </w:p>
    <w:p>
      <w:pPr>
        <w:spacing w:before="0" w:after="0" w:line="480" w:lineRule="auto"/>
        <w:ind w:firstLine="720"/>
        <w:jc w:val="left"/>
      </w:pPr>
      <w:r>
        <w:rPr>
          <w:rFonts w:ascii="Arial" w:hAnsi="Arial" w:cs="Arial" w:eastAsia="Arial"/>
          <w:color w:val="000000"/>
          <w:sz w:val="22"/>
        </w:rPr>
        <w:t>En muchos hogares, el consumo de agua se conoce principalmente a través del total que aparece en la factura de cada periodo. Ese dato no siempre permite revisar con facilidad cómo cambia el consumo entre días ni reconocer cuándo una variación merece atención.</w:t>
      </w:r>
    </w:p>
    <w:p>
      <w:pPr>
        <w:spacing w:before="0" w:after="0" w:line="480" w:lineRule="auto"/>
        <w:ind w:firstLine="720"/>
        <w:jc w:val="left"/>
      </w:pPr>
      <w:r>
        <w:rPr>
          <w:rFonts w:ascii="Arial" w:hAnsi="Arial" w:cs="Arial" w:eastAsia="Arial"/>
          <w:color w:val="000000"/>
          <w:sz w:val="22"/>
        </w:rPr>
        <w:t>Como referencia nacional, la sección 4.5 del informe sectorial de Superservicios para la vigencia 2024 registra un promedio residencial de 10,95 m³ por suscriptor al mes, estimado con datos de 967 prestadores. El informe advierte que parte de los datos fue imputada y presenta una inconsistencia en el año atribuido al promedio en el texto; por ello, aquí se usa solo como contexto nacional. Es un valor por suscriptor, no por persona, y no describe el consumo de una vivienda específica (Superintendencia de Servicios Públicos Domiciliarios [SSPD], 2025, pp. 24–25, 30–31).</w:t>
      </w:r>
    </w:p>
    <w:p>
      <w:pPr>
        <w:spacing w:before="0" w:after="0" w:line="480" w:lineRule="auto"/>
        <w:ind w:firstLine="720"/>
        <w:jc w:val="left"/>
      </w:pPr>
      <w:r>
        <w:rPr>
          <w:rFonts w:ascii="Arial" w:hAnsi="Arial" w:cs="Arial" w:eastAsia="Arial"/>
          <w:color w:val="000000"/>
          <w:sz w:val="22"/>
        </w:rPr>
        <w:t>Cuando la información no está disponible de forma clara y oportuna, puede ser difícil comparar periodos, revisar hábitos o advertir un consumo inusual. Los medidores convencionales cumplen la función de registrar el consumo, pero no siempre ofrecen al usuario una consulta digital sencilla de sus lecturas.</w:t>
      </w:r>
    </w:p>
    <w:p>
      <w:pPr>
        <w:spacing w:before="0" w:after="0" w:line="480" w:lineRule="auto"/>
        <w:ind w:firstLine="720"/>
        <w:jc w:val="left"/>
      </w:pPr>
      <w:r>
        <w:rPr>
          <w:rFonts w:ascii="Arial" w:hAnsi="Arial" w:cs="Arial" w:eastAsia="Arial"/>
          <w:color w:val="000000"/>
          <w:sz w:val="22"/>
        </w:rPr>
        <w:t>Hidro Smart busca atender esta necesidad mediante una plataforma que facilite la consulta de registros y su evolución. La herramienta puede apoyar la observación del consumo, pero no reemplaza la revisión del medidor, la detección técnica de fugas ni la asesoría de un prestador del servicio.</w:t>
      </w:r>
    </w:p>
    <w:p>
      <w:pPr>
        <w:spacing w:before="0" w:after="0" w:line="480" w:lineRule="auto"/>
        <w:ind w:left="259" w:right="259" w:firstLine="720"/>
        <w:jc w:val="left"/>
      </w:pPr>
      <w:r>
        <w:rPr>
          <w:rFonts w:ascii="Arial" w:hAnsi="Arial" w:cs="Arial" w:eastAsia="Arial"/>
          <w:b/>
          <w:color w:val="000000"/>
          <w:sz w:val="22"/>
        </w:rPr>
        <w:t xml:space="preserve">Pregunta orientadora: </w:t>
      </w:r>
      <w:r>
        <w:rPr>
          <w:rFonts w:ascii="Arial" w:hAnsi="Arial" w:cs="Arial" w:eastAsia="Arial"/>
          <w:color w:val="000000"/>
          <w:sz w:val="22"/>
        </w:rPr>
        <w:t>¿Cómo puede una solución digital conectada a un medidor doméstico facilitar la consulta del consumo de agua y ayudar a los hogares a reconocer variaciones para promover un uso responsable del recurso?</w:t>
      </w:r>
    </w:p>
    <w:p>
      <w:pPr>
        <w:pStyle w:val="Heading1"/>
        <w:spacing w:before="0" w:after="0" w:line="480" w:lineRule="auto"/>
        <w:jc w:val="center"/>
      </w:pPr>
      <w:r>
        <w:rPr>
          <w:rFonts w:ascii="Arial" w:hAnsi="Arial" w:cs="Arial" w:eastAsia="Arial"/>
          <w:b/>
          <w:color w:val="000000"/>
          <w:sz w:val="22"/>
        </w:rPr>
        <w:t>2 Justificación del proyecto</w:t>
      </w:r>
    </w:p>
    <w:p>
      <w:pPr>
        <w:spacing w:before="0" w:after="0" w:line="480" w:lineRule="auto"/>
        <w:ind w:firstLine="720"/>
        <w:jc w:val="left"/>
      </w:pPr>
      <w:r>
        <w:rPr>
          <w:rFonts w:ascii="Arial" w:hAnsi="Arial" w:cs="Arial" w:eastAsia="Arial"/>
          <w:color w:val="000000"/>
          <w:sz w:val="22"/>
        </w:rPr>
        <w:t>El agua es necesaria para las actividades cotidianas y su disponibilidad depende de un uso responsable. Contar con información comprensible sobre las lecturas del hogar puede ayudar a las personas a comparar periodos, reconocer cambios y tomar decisiones informadas.</w:t>
      </w:r>
    </w:p>
    <w:p>
      <w:pPr>
        <w:spacing w:before="0" w:after="0" w:line="480" w:lineRule="auto"/>
        <w:ind w:firstLine="720"/>
        <w:jc w:val="left"/>
      </w:pPr>
      <w:r>
        <w:rPr>
          <w:rFonts w:ascii="Arial" w:hAnsi="Arial" w:cs="Arial" w:eastAsia="Arial"/>
          <w:color w:val="000000"/>
          <w:sz w:val="22"/>
        </w:rPr>
        <w:t>El Estudio Nacional del Agua 2022 estima que el uso doméstico corresponde al 10,2 % del volumen total concesionado, frente al 70,8 % del uso agrícola. Estas proporciones describen las concesiones por sector, no el consumo registrado en las viviendas (Instituto de Hidrología, Meteorología y Estudios Ambientales [IDEAM], 2023).</w:t>
      </w:r>
    </w:p>
    <w:p>
      <w:pPr>
        <w:spacing w:before="0" w:after="0" w:line="480" w:lineRule="auto"/>
        <w:ind w:firstLine="720"/>
        <w:jc w:val="left"/>
      </w:pPr>
      <w:r>
        <w:rPr>
          <w:rFonts w:ascii="Arial" w:hAnsi="Arial" w:cs="Arial" w:eastAsia="Arial"/>
          <w:color w:val="000000"/>
          <w:sz w:val="22"/>
        </w:rPr>
        <w:t>Hidro Smart reúne la consulta digital del consumo con herramientas de seguimiento, como metas, alertas e informes. Estas funciones buscan convertir registros en información útil para el usuario y apoyar acciones de cuidado del agua.</w:t>
      </w:r>
    </w:p>
    <w:p>
      <w:pPr>
        <w:spacing w:before="0" w:after="0" w:line="480" w:lineRule="auto"/>
        <w:ind w:firstLine="720"/>
        <w:jc w:val="left"/>
      </w:pPr>
      <w:r>
        <w:rPr>
          <w:rFonts w:ascii="Arial" w:hAnsi="Arial" w:cs="Arial" w:eastAsia="Arial"/>
          <w:color w:val="000000"/>
          <w:sz w:val="22"/>
        </w:rPr>
        <w:t>La propuesta también tiene valor formativo y tecnológico porque plantea una solución que integra medición, comunicación de datos e interacción digital en un contexto doméstico. Su utilidad práctica debe comprobarse con lecturas confiables y pruebas con usuarios.</w:t>
      </w:r>
    </w:p>
    <w:p>
      <w:pPr>
        <w:spacing w:before="0" w:after="0" w:line="480" w:lineRule="auto"/>
        <w:ind w:firstLine="720"/>
        <w:jc w:val="left"/>
      </w:pPr>
      <w:r>
        <w:rPr>
          <w:rFonts w:ascii="Arial" w:hAnsi="Arial" w:cs="Arial" w:eastAsia="Arial"/>
          <w:color w:val="000000"/>
          <w:sz w:val="22"/>
        </w:rPr>
        <w:t>El proyecto no presenta como hechos comprobados porcentajes de ahorro, pérdidas nacionales ni reducción de la factura. Para afirmar esos impactos se requiere una línea base, un piloto comparativo y fuentes verificables para cualquier cifra contextual.</w:t>
      </w:r>
    </w:p>
    <w:p>
      <w:pPr>
        <w:pStyle w:val="Heading1"/>
        <w:spacing w:before="0" w:after="0" w:line="480" w:lineRule="auto"/>
        <w:jc w:val="center"/>
      </w:pPr>
      <w:r>
        <w:rPr>
          <w:rFonts w:ascii="Arial" w:hAnsi="Arial" w:cs="Arial" w:eastAsia="Arial"/>
          <w:b/>
          <w:color w:val="000000"/>
          <w:sz w:val="22"/>
        </w:rPr>
        <w:t>3 Objetivo general</w:t>
      </w:r>
    </w:p>
    <w:p>
      <w:pPr>
        <w:spacing w:before="0" w:after="0" w:line="480" w:lineRule="auto"/>
        <w:ind w:firstLine="720"/>
        <w:jc w:val="left"/>
      </w:pPr>
      <w:r>
        <w:rPr>
          <w:rFonts w:ascii="Arial" w:hAnsi="Arial" w:cs="Arial" w:eastAsia="Arial"/>
          <w:color w:val="000000"/>
          <w:sz w:val="22"/>
        </w:rPr>
        <w:t>Desarrollar y validar progresivamente un prototipo digital conectado a un medidor de agua que permita registrar, consultar y visualizar lecturas del hogar, facilite la identificación de variaciones de consumo y aporte información para promover un uso responsable del recurso.</w:t>
      </w:r>
    </w:p>
    <w:p>
      <w:pPr>
        <w:pStyle w:val="Heading1"/>
        <w:spacing w:before="0" w:after="0" w:line="480" w:lineRule="auto"/>
        <w:jc w:val="center"/>
      </w:pPr>
      <w:r>
        <w:rPr>
          <w:rFonts w:ascii="Arial" w:hAnsi="Arial" w:cs="Arial" w:eastAsia="Arial"/>
          <w:b/>
          <w:color w:val="000000"/>
          <w:sz w:val="22"/>
        </w:rPr>
        <w:t>4 Objetivos específicos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Desarrollar una interfaz digital que permita a los usuarios gestionar sus hogares y consultar la información asociada a sus dispositivos.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Integrar la recepción y el registro de lecturas periódicas para que puedan revisarse desde la plataforma.</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Presentar el consumo mediante consultas, resúmenes e informes que ayuden a comparar periodos.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Ofrecer metas, alertas y recomendaciones relacionadas con el consumo, diferenciando la orientación general de los resultados respaldados por lecturas.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Validar el flujo completo con un medidor instalado y calibrado, y documentar los resultados, las limitaciones y los ajustes requeridos.</w:t>
      </w:r>
    </w:p>
    <w:p>
      <w:pPr>
        <w:pStyle w:val="Heading1"/>
        <w:spacing w:before="0" w:after="0" w:line="480" w:lineRule="auto"/>
        <w:jc w:val="center"/>
      </w:pPr>
      <w:r>
        <w:rPr>
          <w:rFonts w:ascii="Arial" w:hAnsi="Arial" w:cs="Arial" w:eastAsia="Arial"/>
          <w:b/>
          <w:color w:val="000000"/>
          <w:sz w:val="22"/>
        </w:rPr>
        <w:t>5 Alcance del proyecto</w:t>
      </w:r>
    </w:p>
    <w:p>
      <w:pPr>
        <w:spacing w:before="0" w:after="0" w:line="480" w:lineRule="auto"/>
        <w:ind w:firstLine="720"/>
        <w:jc w:val="left"/>
      </w:pPr>
      <w:r>
        <w:rPr>
          <w:rFonts w:ascii="Arial" w:hAnsi="Arial" w:cs="Arial" w:eastAsia="Arial"/>
          <w:color w:val="000000"/>
          <w:sz w:val="22"/>
        </w:rPr>
        <w:t>El proyecto comprende el desarrollo de un prototipo para apoyar el seguimiento del consumo doméstico de agua. La solución permite organizar hogares y dispositivos, recibir o consultar lecturas, revisar su evolución y acceder a funciones de seguimiento como metas, alertas e informes.</w:t>
      </w:r>
    </w:p>
    <w:p>
      <w:pPr>
        <w:spacing w:before="0" w:after="0" w:line="480" w:lineRule="auto"/>
        <w:ind w:firstLine="720"/>
        <w:jc w:val="left"/>
      </w:pPr>
      <w:r>
        <w:rPr>
          <w:rFonts w:ascii="Arial" w:hAnsi="Arial" w:cs="Arial" w:eastAsia="Arial"/>
          <w:color w:val="000000"/>
          <w:sz w:val="22"/>
        </w:rPr>
        <w:t>La propuesta contempla acceso desde interfaces web y móviles. El grado de funcionamiento que depende de un teléfono, del medidor y de la conectividad debe comprobarse en condiciones reales antes de considerarlo plenamente validado.</w:t>
      </w:r>
    </w:p>
    <w:p>
      <w:pPr>
        <w:pStyle w:val="Heading2"/>
        <w:spacing w:before="0" w:after="0" w:line="480" w:lineRule="auto"/>
        <w:jc w:val="left"/>
      </w:pPr>
      <w:r>
        <w:rPr>
          <w:rFonts w:ascii="Arial" w:hAnsi="Arial" w:cs="Arial" w:eastAsia="Arial"/>
          <w:b/>
          <w:color w:val="000000"/>
          <w:sz w:val="22"/>
        </w:rPr>
        <w:t>Incluye</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Gestión de cuentas, hogares y dispositivos asociados.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Consulta y visualización de lecturas de consumo disponibles.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Herramientas de seguimiento, como metas, alertas e informes.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Orientaciones generales para apoyar decisiones de uso responsable.</w:t>
      </w:r>
    </w:p>
    <w:p>
      <w:pPr>
        <w:pStyle w:val="Heading2"/>
        <w:spacing w:before="0" w:after="0" w:line="480" w:lineRule="auto"/>
        <w:jc w:val="left"/>
      </w:pPr>
      <w:r>
        <w:rPr>
          <w:rFonts w:ascii="Arial" w:hAnsi="Arial" w:cs="Arial" w:eastAsia="Arial"/>
          <w:b/>
          <w:color w:val="000000"/>
          <w:sz w:val="22"/>
        </w:rPr>
        <w:t>Límites actuales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El detalle del consumo por actividad todavía no está validado. La CRA incluye ducha, sanitarios, lavado de ropa, aseo de vivienda, lavado de manos y preparación de alimentos entre los usos domésticos esenciales, pero no ofrece porcentajes nacionales para cada actividad; ese desglose requiere mediciones locales (Comisión de Regulación de Agua Potable y Saneamiento Básico [CRA], 2024).</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Los rangos de consumo básico de la CRA son 11, 13 o 16 m³ por suscriptor al mes, según la altitud del municipio; son categorías regulatorias expresadas por suscriptor, no por persona (CRA, 2026).</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 detección automática de fugas y el cierre automático del suministro no se presentan como resultados del prototipo.</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 conexión física integral y la precisión de las lecturas dependen de pruebas del medidor y de su calibración.</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El proyecto no cuenta con una medición comparativa que demuestre ahorro de agua o dinero.</w:t>
      </w:r>
    </w:p>
    <w:p>
      <w:pPr>
        <w:pStyle w:val="Heading1"/>
        <w:spacing w:before="0" w:after="0" w:line="480" w:lineRule="auto"/>
        <w:jc w:val="center"/>
      </w:pPr>
      <w:r>
        <w:rPr>
          <w:rFonts w:ascii="Arial" w:hAnsi="Arial" w:cs="Arial" w:eastAsia="Arial"/>
          <w:b/>
          <w:color w:val="000000"/>
          <w:sz w:val="22"/>
        </w:rPr>
        <w:t>6 Beneficiarios del proyecto</w:t>
      </w:r>
    </w:p>
    <w:p>
      <w:pPr>
        <w:spacing w:before="0" w:after="0" w:line="480" w:lineRule="auto"/>
        <w:ind w:firstLine="720"/>
        <w:jc w:val="left"/>
      </w:pPr>
      <w:r>
        <w:rPr>
          <w:rFonts w:ascii="Arial" w:hAnsi="Arial" w:cs="Arial" w:eastAsia="Arial"/>
          <w:color w:val="000000"/>
          <w:sz w:val="22"/>
        </w:rPr>
        <w:t>Los beneficiarios directos y potenciales de Hidro Smart se relacionan con el uso doméstico y educativo de la información sobre consumo:</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Hogares y familias que desean consultar sus lecturas y reconocer cambios en el consumo.</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Administradores de viviendas o conjuntos residenciales interesados en promover prácticas de uso responsable, sujeto a las condiciones de privacidad y autorización.</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Instituciones educativas y grupos ambientales que puedan usar el prototipo como apoyo para actividades de aprendizaje.</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Prestadores de servicios públicos que, en una etapa futura y con acuerdos adecuados, podrían evaluar herramientas de información para sus usuarios.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 comunidad y el medio ambiente, como beneficiarios indirectos de mejores hábitos, si estos llegan a demostrarse en pruebas.</w:t>
      </w:r>
    </w:p>
    <w:p>
      <w:pPr>
        <w:spacing w:before="0" w:after="0" w:line="480" w:lineRule="auto"/>
        <w:ind w:firstLine="720"/>
        <w:jc w:val="left"/>
      </w:pPr>
      <w:r>
        <w:rPr>
          <w:rFonts w:ascii="Arial" w:hAnsi="Arial" w:cs="Arial" w:eastAsia="Arial"/>
          <w:color w:val="000000"/>
          <w:sz w:val="22"/>
        </w:rPr>
        <w:t>La adopción por estos grupos no se presume. Debe evaluarse mediante pruebas de uso, análisis de privacidad y validación del modelo de operación.</w:t>
      </w:r>
    </w:p>
    <w:p>
      <w:pPr>
        <w:pStyle w:val="Heading1"/>
        <w:spacing w:before="0" w:after="0" w:line="480" w:lineRule="auto"/>
        <w:jc w:val="center"/>
      </w:pPr>
      <w:r>
        <w:rPr>
          <w:rFonts w:ascii="Arial" w:hAnsi="Arial" w:cs="Arial" w:eastAsia="Arial"/>
          <w:b/>
          <w:color w:val="000000"/>
          <w:sz w:val="22"/>
        </w:rPr>
        <w:t>7 Impacto del proyecto</w:t>
      </w:r>
    </w:p>
    <w:p>
      <w:pPr>
        <w:spacing w:after="0" w:before="0" w:line="480" w:lineRule="auto"/>
        <w:ind w:left="360" w:hanging="360"/>
        <w:jc w:val="left"/>
      </w:pPr>
      <w:r>
        <w:rPr>
          <w:rFonts w:ascii="Arial" w:hAnsi="Arial"/>
          <w:color w:val="000000"/>
          <w:sz w:val="22"/>
        </w:rPr>
        <w:t xml:space="preserve">•  </w:t>
      </w:r>
      <w:r>
        <w:rPr>
          <w:rFonts w:ascii="Arial" w:hAnsi="Arial" w:cs="Arial" w:eastAsia="Arial"/>
          <w:b/>
          <w:color w:val="000000"/>
          <w:sz w:val="22"/>
        </w:rPr>
        <w:t xml:space="preserve">Ambiental. </w:t>
      </w:r>
      <w:r>
        <w:rPr>
          <w:rFonts w:ascii="Arial" w:hAnsi="Arial" w:cs="Arial" w:eastAsia="Arial"/>
          <w:color w:val="000000"/>
          <w:sz w:val="22"/>
        </w:rPr>
        <w:t>La consulta del consumo puede apoyar la educación sobre el uso del agua. Una reducción efectiva del desperdicio solo podrá afirmarse cuando se mida en un piloto.</w:t>
      </w:r>
    </w:p>
    <w:p>
      <w:pPr>
        <w:spacing w:after="0" w:before="0" w:line="480" w:lineRule="auto"/>
        <w:ind w:left="360" w:hanging="360"/>
        <w:jc w:val="left"/>
      </w:pPr>
      <w:r>
        <w:rPr>
          <w:rFonts w:ascii="Arial" w:hAnsi="Arial"/>
          <w:color w:val="000000"/>
          <w:sz w:val="22"/>
        </w:rPr>
        <w:t xml:space="preserve">•  </w:t>
      </w:r>
      <w:r>
        <w:rPr>
          <w:rFonts w:ascii="Arial" w:hAnsi="Arial" w:cs="Arial" w:eastAsia="Arial"/>
          <w:b/>
          <w:color w:val="000000"/>
          <w:sz w:val="22"/>
        </w:rPr>
        <w:t xml:space="preserve">Económico. </w:t>
      </w:r>
      <w:r>
        <w:rPr>
          <w:rFonts w:ascii="Arial" w:hAnsi="Arial" w:cs="Arial" w:eastAsia="Arial"/>
          <w:color w:val="000000"/>
          <w:sz w:val="22"/>
        </w:rPr>
        <w:t>La información puede ayudar a los usuarios a revisar variaciones en el consumo. No se ha demostrado una reducción de la factura ni se garantiza un ahorro.</w:t>
      </w:r>
    </w:p>
    <w:p>
      <w:pPr>
        <w:spacing w:after="0" w:before="0" w:line="480" w:lineRule="auto"/>
        <w:ind w:left="360" w:hanging="360"/>
        <w:jc w:val="left"/>
      </w:pPr>
      <w:r>
        <w:rPr>
          <w:rFonts w:ascii="Arial" w:hAnsi="Arial"/>
          <w:color w:val="000000"/>
          <w:sz w:val="22"/>
        </w:rPr>
        <w:t xml:space="preserve">•  </w:t>
      </w:r>
      <w:r>
        <w:rPr>
          <w:rFonts w:ascii="Arial" w:hAnsi="Arial" w:cs="Arial" w:eastAsia="Arial"/>
          <w:b/>
          <w:color w:val="000000"/>
          <w:sz w:val="22"/>
        </w:rPr>
        <w:t xml:space="preserve">Social. </w:t>
      </w:r>
      <w:r>
        <w:rPr>
          <w:rFonts w:ascii="Arial" w:hAnsi="Arial" w:cs="Arial" w:eastAsia="Arial"/>
          <w:color w:val="000000"/>
          <w:sz w:val="22"/>
        </w:rPr>
        <w:t>Una interfaz comprensible puede facilitar conversaciones en el hogar sobre el cuidado del recurso y promover decisiones informadas.</w:t>
      </w:r>
    </w:p>
    <w:p>
      <w:pPr>
        <w:spacing w:after="0" w:before="0" w:line="480" w:lineRule="auto"/>
        <w:ind w:left="360" w:hanging="360"/>
        <w:jc w:val="left"/>
      </w:pPr>
      <w:r>
        <w:rPr>
          <w:rFonts w:ascii="Arial" w:hAnsi="Arial"/>
          <w:color w:val="000000"/>
          <w:sz w:val="22"/>
        </w:rPr>
        <w:t xml:space="preserve">•  </w:t>
      </w:r>
      <w:r>
        <w:rPr>
          <w:rFonts w:ascii="Arial" w:hAnsi="Arial" w:cs="Arial" w:eastAsia="Arial"/>
          <w:b/>
          <w:color w:val="000000"/>
          <w:sz w:val="22"/>
        </w:rPr>
        <w:t xml:space="preserve">Tecnológico. </w:t>
      </w:r>
      <w:r>
        <w:rPr>
          <w:rFonts w:ascii="Arial" w:hAnsi="Arial" w:cs="Arial" w:eastAsia="Arial"/>
          <w:color w:val="000000"/>
          <w:sz w:val="22"/>
        </w:rPr>
        <w:t>El prototipo explora el uso de herramientas digitales y dispositivos de medición para acercar datos de consumo al usuario doméstico.</w:t>
      </w:r>
    </w:p>
    <w:p>
      <w:pPr>
        <w:pStyle w:val="Heading1"/>
        <w:spacing w:before="0" w:after="0" w:line="480" w:lineRule="auto"/>
        <w:jc w:val="center"/>
      </w:pPr>
      <w:r>
        <w:rPr>
          <w:rFonts w:ascii="Arial" w:hAnsi="Arial" w:cs="Arial" w:eastAsia="Arial"/>
          <w:b/>
          <w:color w:val="000000"/>
          <w:sz w:val="22"/>
        </w:rPr>
        <w:t>8 Restricciones del proyecto</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 consulta oportuna depende del suministro eléctrico, la conectividad y la disponibilidad del medidor.</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 confiabilidad de los registros depende de la instalación, el estado y la calibración del dispositivo de medición.</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 experiencia móvil y las funciones que dependen del teléfono requieren validación en equipos compatibles.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Las lecturas disponibles no permiten afirmar por sí solas qué actividad doméstica generó cada consumo ni confirmar una fuga.</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No se ha realizado un piloto comparativo para medir ahorro, precisión en campo o aceptación sostenida por parte de los usuarios.</w:t>
      </w:r>
    </w:p>
    <w:p>
      <w:pPr>
        <w:spacing w:after="0" w:line="480" w:lineRule="auto" w:before="0"/>
        <w:ind w:left="360" w:hanging="360"/>
        <w:jc w:val="left"/>
      </w:pPr>
      <w:r>
        <w:rPr>
          <w:rFonts w:ascii="Arial" w:hAnsi="Arial"/>
          <w:color w:val="000000"/>
          <w:sz w:val="22"/>
        </w:rPr>
        <w:t xml:space="preserve">•  </w:t>
      </w:r>
      <w:r>
        <w:rPr>
          <w:rFonts w:ascii="Arial" w:hAnsi="Arial" w:cs="Arial" w:eastAsia="Arial"/>
          <w:color w:val="000000"/>
          <w:sz w:val="22"/>
        </w:rPr>
        <w:t>Los costos de instalación, mantenimiento, soporte y operación comercial todavía deben definirse y comprobarse.</w:t>
      </w:r>
    </w:p>
    <w:p>
      <w:pPr>
        <w:pStyle w:val="Heading1"/>
        <w:spacing w:before="0" w:after="0" w:line="480" w:lineRule="auto"/>
        <w:jc w:val="center"/>
      </w:pPr>
      <w:r>
        <w:rPr>
          <w:rFonts w:ascii="Arial" w:hAnsi="Arial" w:cs="Arial" w:eastAsia="Arial"/>
          <w:b/>
          <w:color w:val="000000"/>
          <w:sz w:val="22"/>
        </w:rPr>
        <w:t>9 Riesgos del proyecto</w:t>
      </w:r>
    </w:p>
    <w:p>
      <w:pPr>
        <w:spacing w:before="0" w:after="0" w:line="480" w:lineRule="auto"/>
        <w:ind w:firstLine="720"/>
        <w:jc w:val="left"/>
      </w:pPr>
      <w:r>
        <w:rPr>
          <w:rFonts w:ascii="Arial" w:hAnsi="Arial" w:cs="Arial" w:eastAsia="Arial"/>
          <w:color w:val="000000"/>
          <w:sz w:val="22"/>
        </w:rPr>
        <w:t>Los riesgos principales se relacionan con la confiabilidad de las mediciones, la conexión entre el dispositivo y la plataforma, y la adopción por parte de los usuarios. Su tratamiento debe formar parte de las pruebas y de la planeación del piloto. La Tabla 1 resume los riesgos y sus medidas de respuesta.</w:t>
      </w:r>
    </w:p>
    <w:p>
      <w:pPr>
        <w:keepNext/>
        <w:spacing w:line="480" w:lineRule="auto" w:before="0" w:after="0"/>
        <w:jc w:val="left"/>
      </w:pPr>
      <w:r>
        <w:rPr>
          <w:rFonts w:ascii="Arial" w:hAnsi="Arial" w:cs="Arial" w:eastAsia="Arial"/>
          <w:b/>
          <w:color w:val="000000"/>
          <w:sz w:val="22"/>
        </w:rPr>
        <w:t>Tabla 1</w:t>
      </w:r>
    </w:p>
    <w:p>
      <w:pPr>
        <w:keepNext/>
        <w:spacing w:line="480" w:lineRule="auto" w:before="0" w:after="0"/>
        <w:jc w:val="left"/>
      </w:pPr>
      <w:r>
        <w:rPr>
          <w:rFonts w:ascii="Arial" w:hAnsi="Arial" w:cs="Arial" w:eastAsia="Arial"/>
          <w:i/>
          <w:color w:val="000000"/>
          <w:sz w:val="22"/>
        </w:rPr>
        <w:t>Riesgos del proyecto y medidas de respuesta</w:t>
      </w:r>
    </w:p>
    <w:tbl>
      <w:tblPr>
        <w:tblStyle w:val="TableGrid"/>
        <w:tblW w:type="auto" w:w="0"/>
        <w:jc w:val="center"/>
        <w:tblLayout w:type="autofit"/>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3293"/>
        <w:gridCol w:w="3293"/>
        <w:gridCol w:w="3293"/>
      </w:tblGrid>
      <w:tr>
        <w:trPr>
          <w:cantSplit/>
          <w:tblHeader w:val="true"/>
        </w:trPr>
        <w:tc>
          <w:tcPr>
            <w:tcW w:type="dxa" w:w="1944"/>
            <w:vAlign w:val="center"/>
            <w:tcMar>
              <w:top w:w="90" w:type="dxa"/>
              <w:start w:w="100" w:type="dxa"/>
              <w:bottom w:w="90" w:type="dxa"/>
              <w:end w:w="100" w:type="dxa"/>
            </w:tcMar>
            <w:shd w:fill="FFFFFF" w:val="clear"/>
            <w:tcBorders>
              <w:left w:val="nil"/>
              <w:right w:val="nil"/>
              <w:top w:val="single" w:sz="8" w:color="000000"/>
              <w:bottom w:val="single" w:sz="8" w:color="000000"/>
            </w:tcBorders>
          </w:tcPr>
          <w:p>
            <w:pPr>
              <w:spacing w:after="0" w:before="0" w:line="240" w:lineRule="auto"/>
              <w:ind w:left="0"/>
              <w:jc w:val="left"/>
            </w:pPr>
            <w:r>
              <w:rPr>
                <w:rFonts w:ascii="Arial" w:hAnsi="Arial" w:cs="Arial" w:eastAsia="Arial"/>
                <w:b/>
                <w:color w:val="000000"/>
                <w:sz w:val="21"/>
              </w:rPr>
              <w:t>Riesgo</w:t>
            </w:r>
          </w:p>
        </w:tc>
        <w:tc>
          <w:tcPr>
            <w:tcW w:type="dxa" w:w="3240"/>
            <w:vAlign w:val="center"/>
            <w:tcMar>
              <w:top w:w="90" w:type="dxa"/>
              <w:start w:w="100" w:type="dxa"/>
              <w:bottom w:w="90" w:type="dxa"/>
              <w:end w:w="100" w:type="dxa"/>
            </w:tcMar>
            <w:shd w:fill="FFFFFF" w:val="clear"/>
            <w:tcBorders>
              <w:left w:val="nil"/>
              <w:right w:val="nil"/>
              <w:top w:val="single" w:sz="8" w:color="000000"/>
              <w:bottom w:val="single" w:sz="8" w:color="000000"/>
            </w:tcBorders>
          </w:tcPr>
          <w:p>
            <w:pPr>
              <w:spacing w:after="0" w:before="0" w:line="240" w:lineRule="auto"/>
              <w:ind w:left="0"/>
              <w:jc w:val="left"/>
            </w:pPr>
            <w:r>
              <w:rPr>
                <w:rFonts w:ascii="Arial" w:hAnsi="Arial" w:cs="Arial" w:eastAsia="Arial"/>
                <w:b/>
                <w:color w:val="000000"/>
                <w:sz w:val="21"/>
              </w:rPr>
              <w:t>Efecto posible</w:t>
            </w:r>
          </w:p>
        </w:tc>
        <w:tc>
          <w:tcPr>
            <w:tcW w:type="dxa" w:w="3816"/>
            <w:vAlign w:val="center"/>
            <w:tcMar>
              <w:top w:w="90" w:type="dxa"/>
              <w:start w:w="100" w:type="dxa"/>
              <w:bottom w:w="90" w:type="dxa"/>
              <w:end w:w="100" w:type="dxa"/>
            </w:tcMar>
            <w:shd w:fill="FFFFFF" w:val="clear"/>
            <w:tcBorders>
              <w:left w:val="nil"/>
              <w:right w:val="nil"/>
              <w:top w:val="single" w:sz="8" w:color="000000"/>
              <w:bottom w:val="single" w:sz="8" w:color="000000"/>
            </w:tcBorders>
          </w:tcPr>
          <w:p>
            <w:pPr>
              <w:spacing w:after="0" w:before="0" w:line="240" w:lineRule="auto"/>
              <w:ind w:left="0"/>
              <w:jc w:val="left"/>
            </w:pPr>
            <w:r>
              <w:rPr>
                <w:rFonts w:ascii="Arial" w:hAnsi="Arial" w:cs="Arial" w:eastAsia="Arial"/>
                <w:b/>
                <w:color w:val="000000"/>
                <w:sz w:val="21"/>
              </w:rPr>
              <w:t>Medida de respuesta</w:t>
            </w:r>
          </w:p>
        </w:tc>
      </w:tr>
      <w:tr>
        <w:trPr>
          <w:cantSplit/>
        </w:trPr>
        <w:tc>
          <w:tcPr>
            <w:tcW w:type="dxa" w:w="194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Lecturas imprecisas</w:t>
            </w:r>
          </w:p>
        </w:tc>
        <w:tc>
          <w:tcPr>
            <w:tcW w:type="dxa" w:w="3240"/>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El usuario podría tomar decisiones con datos que no representan el consumo real.</w:t>
            </w:r>
          </w:p>
        </w:tc>
        <w:tc>
          <w:tcPr>
            <w:tcW w:type="dxa" w:w="3816"/>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Calibrar el medidor y comparar sus registros con una referencia antes del piloto.</w:t>
            </w:r>
          </w:p>
        </w:tc>
      </w:tr>
      <w:tr>
        <w:trPr>
          <w:cantSplit/>
        </w:trPr>
        <w:tc>
          <w:tcPr>
            <w:tcW w:type="dxa" w:w="194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Pérdida de conexión o energía</w:t>
            </w:r>
          </w:p>
        </w:tc>
        <w:tc>
          <w:tcPr>
            <w:tcW w:type="dxa" w:w="3240"/>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Las lecturas podrían llegar tarde o quedar incompletas.</w:t>
            </w:r>
          </w:p>
        </w:tc>
        <w:tc>
          <w:tcPr>
            <w:tcW w:type="dxa" w:w="3816"/>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Probar interrupciones y recuperación; comunicar con claridad cuándo faltan datos.</w:t>
            </w:r>
          </w:p>
        </w:tc>
      </w:tr>
      <w:tr>
        <w:trPr>
          <w:cantSplit/>
        </w:trPr>
        <w:tc>
          <w:tcPr>
            <w:tcW w:type="dxa" w:w="194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Fallas de integración</w:t>
            </w:r>
          </w:p>
        </w:tc>
        <w:tc>
          <w:tcPr>
            <w:tcW w:type="dxa" w:w="3240"/>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El medidor y la plataforma podrían no intercambiar datos de forma continua.</w:t>
            </w:r>
          </w:p>
        </w:tc>
        <w:tc>
          <w:tcPr>
            <w:tcW w:type="dxa" w:w="3816"/>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Validar cada etapa de la conexión y repetir pruebas con escenarios de uso.</w:t>
            </w:r>
          </w:p>
        </w:tc>
      </w:tr>
      <w:tr>
        <w:trPr>
          <w:cantSplit/>
        </w:trPr>
        <w:tc>
          <w:tcPr>
            <w:tcW w:type="dxa" w:w="194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Privacidad de los datos</w:t>
            </w:r>
          </w:p>
        </w:tc>
        <w:tc>
          <w:tcPr>
            <w:tcW w:type="dxa" w:w="3240"/>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Los registros podrían exponer información sobre rutinas del hogar.</w:t>
            </w:r>
          </w:p>
        </w:tc>
        <w:tc>
          <w:tcPr>
            <w:tcW w:type="dxa" w:w="3816"/>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Aplicar permisos de acceso, minimizar los datos recopilados e informar al usuario.</w:t>
            </w:r>
          </w:p>
        </w:tc>
      </w:tr>
      <w:tr>
        <w:trPr>
          <w:cantSplit/>
        </w:trPr>
        <w:tc>
          <w:tcPr>
            <w:tcW w:type="dxa" w:w="194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Baja adopción</w:t>
            </w:r>
          </w:p>
        </w:tc>
        <w:tc>
          <w:tcPr>
            <w:tcW w:type="dxa" w:w="3240"/>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Los usuarios podrían no consultar la plataforma o no comprender sus resultados.</w:t>
            </w:r>
          </w:p>
        </w:tc>
        <w:tc>
          <w:tcPr>
            <w:tcW w:type="dxa" w:w="3816"/>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Realizar pruebas de usabilidad y ajustar los mensajes y la orientación.</w:t>
            </w:r>
          </w:p>
        </w:tc>
      </w:tr>
      <w:tr>
        <w:trPr>
          <w:cantSplit/>
        </w:trPr>
        <w:tc>
          <w:tcPr>
            <w:tcW w:type="dxa" w:w="1944"/>
            <w:vAlign w:val="center"/>
            <w:tcMar>
              <w:top w:w="90" w:type="dxa"/>
              <w:start w:w="100" w:type="dxa"/>
              <w:bottom w:w="90" w:type="dxa"/>
              <w:end w:w="100" w:type="dxa"/>
            </w:tcMar>
            <w:shd w:fill="FFFFFF" w:val="clear"/>
            <w:tcBorders>
              <w:left w:val="nil"/>
              <w:right w:val="nil"/>
              <w:top w:val="nil"/>
              <w:bottom w:val="single" w:sz="8" w:color="000000"/>
            </w:tcBorders>
          </w:tcPr>
          <w:p>
            <w:pPr>
              <w:spacing w:after="0" w:before="0" w:line="240" w:lineRule="auto"/>
              <w:ind w:left="0"/>
              <w:jc w:val="left"/>
            </w:pPr>
            <w:r>
              <w:rPr>
                <w:rFonts w:ascii="Arial" w:hAnsi="Arial" w:cs="Arial" w:eastAsia="Arial"/>
                <w:b w:val="0"/>
                <w:color w:val="000000"/>
                <w:sz w:val="21"/>
              </w:rPr>
              <w:t>Costos y sostenibilidad</w:t>
            </w:r>
          </w:p>
        </w:tc>
        <w:tc>
          <w:tcPr>
            <w:tcW w:type="dxa" w:w="3240"/>
            <w:vAlign w:val="center"/>
            <w:tcMar>
              <w:top w:w="90" w:type="dxa"/>
              <w:start w:w="100" w:type="dxa"/>
              <w:bottom w:w="90" w:type="dxa"/>
              <w:end w:w="100" w:type="dxa"/>
            </w:tcMar>
            <w:shd w:fill="FFFFFF" w:val="clear"/>
            <w:tcBorders>
              <w:left w:val="nil"/>
              <w:right w:val="nil"/>
              <w:top w:val="nil"/>
              <w:bottom w:val="single" w:sz="8" w:color="000000"/>
            </w:tcBorders>
          </w:tcPr>
          <w:p>
            <w:pPr>
              <w:spacing w:after="0" w:before="0" w:line="240" w:lineRule="auto"/>
              <w:ind w:left="0"/>
              <w:jc w:val="left"/>
            </w:pPr>
            <w:r>
              <w:rPr>
                <w:rFonts w:ascii="Arial" w:hAnsi="Arial" w:cs="Arial" w:eastAsia="Arial"/>
                <w:b w:val="0"/>
                <w:color w:val="000000"/>
                <w:sz w:val="21"/>
              </w:rPr>
              <w:t>El costo de instalación u operación podría dificultar la continuidad.</w:t>
            </w:r>
          </w:p>
        </w:tc>
        <w:tc>
          <w:tcPr>
            <w:tcW w:type="dxa" w:w="3816"/>
            <w:vAlign w:val="center"/>
            <w:tcMar>
              <w:top w:w="90" w:type="dxa"/>
              <w:start w:w="100" w:type="dxa"/>
              <w:bottom w:w="90" w:type="dxa"/>
              <w:end w:w="100" w:type="dxa"/>
            </w:tcMar>
            <w:shd w:fill="FFFFFF" w:val="clear"/>
            <w:tcBorders>
              <w:left w:val="nil"/>
              <w:right w:val="nil"/>
              <w:top w:val="nil"/>
              <w:bottom w:val="single" w:sz="8" w:color="000000"/>
            </w:tcBorders>
          </w:tcPr>
          <w:p>
            <w:pPr>
              <w:spacing w:after="0" w:before="0" w:line="240" w:lineRule="auto"/>
              <w:ind w:left="0"/>
              <w:jc w:val="left"/>
            </w:pPr>
            <w:r>
              <w:rPr>
                <w:rFonts w:ascii="Arial" w:hAnsi="Arial" w:cs="Arial" w:eastAsia="Arial"/>
                <w:b w:val="0"/>
                <w:color w:val="000000"/>
                <w:sz w:val="21"/>
              </w:rPr>
              <w:t>Estimar costos reales y validar el modelo de operación antes de ofrecer el servicio.</w:t>
            </w:r>
          </w:p>
        </w:tc>
      </w:tr>
    </w:tbl>
    <w:p>
      <w:pPr>
        <w:spacing w:line="480" w:lineRule="auto" w:before="0" w:after="0"/>
        <w:jc w:val="left"/>
      </w:pPr>
      <w:r>
        <w:t xml:space="preserve"> </w:t>
      </w:r>
    </w:p>
    <w:p>
      <w:pPr>
        <w:pStyle w:val="Heading1"/>
        <w:spacing w:after="0" w:before="0" w:line="480" w:lineRule="auto"/>
        <w:ind w:left="259"/>
        <w:jc w:val="center"/>
      </w:pPr>
      <w:r>
        <w:rPr>
          <w:rFonts w:ascii="Arial" w:hAnsi="Arial" w:cs="Arial" w:eastAsia="Arial"/>
          <w:b/>
          <w:color w:val="000000"/>
          <w:sz w:val="22"/>
        </w:rPr>
        <w:t>10 Productos o resultados del proyecto</w:t>
      </w:r>
    </w:p>
    <w:p>
      <w:pPr>
        <w:spacing w:before="0" w:after="0" w:line="480" w:lineRule="auto"/>
        <w:ind w:firstLine="720"/>
        <w:jc w:val="left"/>
      </w:pPr>
      <w:r>
        <w:rPr>
          <w:rFonts w:ascii="Arial" w:hAnsi="Arial" w:cs="Arial" w:eastAsia="Arial"/>
          <w:color w:val="000000"/>
          <w:sz w:val="22"/>
        </w:rPr>
        <w:t>Los productos se describen según su estado actual. La Tabla 2 resume su situación y las validaciones pendientes, que delimitan qué resultados todavía no pueden presentarse como comprobados.</w:t>
      </w:r>
    </w:p>
    <w:p>
      <w:pPr>
        <w:keepNext/>
        <w:spacing w:line="480" w:lineRule="auto" w:before="0" w:after="0"/>
        <w:jc w:val="left"/>
      </w:pPr>
      <w:r>
        <w:rPr>
          <w:rFonts w:ascii="Arial" w:hAnsi="Arial" w:cs="Arial" w:eastAsia="Arial"/>
          <w:b/>
          <w:color w:val="000000"/>
          <w:sz w:val="22"/>
        </w:rPr>
        <w:t>Tabla 2</w:t>
      </w:r>
    </w:p>
    <w:p>
      <w:pPr>
        <w:keepNext/>
        <w:spacing w:line="480" w:lineRule="auto" w:before="0" w:after="0"/>
        <w:jc w:val="left"/>
      </w:pPr>
      <w:r>
        <w:rPr>
          <w:rFonts w:ascii="Arial" w:hAnsi="Arial" w:cs="Arial" w:eastAsia="Arial"/>
          <w:i/>
          <w:color w:val="000000"/>
          <w:sz w:val="22"/>
        </w:rPr>
        <w:t>Productos del proyecto y validaciones pendientes</w:t>
      </w:r>
    </w:p>
    <w:tbl>
      <w:tblPr>
        <w:tblStyle w:val="TableGrid"/>
        <w:tblW w:type="auto" w:w="0"/>
        <w:jc w:val="center"/>
        <w:tblLayout w:type="autofit"/>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3293"/>
        <w:gridCol w:w="3293"/>
        <w:gridCol w:w="3293"/>
      </w:tblGrid>
      <w:tr>
        <w:trPr>
          <w:cantSplit/>
          <w:tblHeader w:val="true"/>
        </w:trPr>
        <w:tc>
          <w:tcPr>
            <w:tcW w:type="dxa" w:w="2088"/>
            <w:vAlign w:val="center"/>
            <w:tcMar>
              <w:top w:w="90" w:type="dxa"/>
              <w:start w:w="100" w:type="dxa"/>
              <w:bottom w:w="90" w:type="dxa"/>
              <w:end w:w="100" w:type="dxa"/>
            </w:tcMar>
            <w:shd w:fill="FFFFFF" w:val="clear"/>
            <w:tcBorders>
              <w:left w:val="nil"/>
              <w:right w:val="nil"/>
              <w:top w:val="single" w:sz="8" w:color="000000"/>
              <w:bottom w:val="single" w:sz="8" w:color="000000"/>
            </w:tcBorders>
          </w:tcPr>
          <w:p>
            <w:pPr>
              <w:spacing w:after="0" w:before="0" w:line="240" w:lineRule="auto"/>
              <w:ind w:left="0"/>
              <w:jc w:val="left"/>
            </w:pPr>
            <w:r>
              <w:rPr>
                <w:rFonts w:ascii="Arial" w:hAnsi="Arial" w:cs="Arial" w:eastAsia="Arial"/>
                <w:b/>
                <w:color w:val="000000"/>
                <w:sz w:val="21"/>
              </w:rPr>
              <w:t>Producto o resultado</w:t>
            </w:r>
          </w:p>
        </w:tc>
        <w:tc>
          <w:tcPr>
            <w:tcW w:type="dxa" w:w="3384"/>
            <w:vAlign w:val="center"/>
            <w:tcMar>
              <w:top w:w="90" w:type="dxa"/>
              <w:start w:w="100" w:type="dxa"/>
              <w:bottom w:w="90" w:type="dxa"/>
              <w:end w:w="100" w:type="dxa"/>
            </w:tcMar>
            <w:shd w:fill="FFFFFF" w:val="clear"/>
            <w:tcBorders>
              <w:left w:val="nil"/>
              <w:right w:val="nil"/>
              <w:top w:val="single" w:sz="8" w:color="000000"/>
              <w:bottom w:val="single" w:sz="8" w:color="000000"/>
            </w:tcBorders>
          </w:tcPr>
          <w:p>
            <w:pPr>
              <w:spacing w:after="0" w:before="0" w:line="240" w:lineRule="auto"/>
              <w:ind w:left="0"/>
              <w:jc w:val="left"/>
            </w:pPr>
            <w:r>
              <w:rPr>
                <w:rFonts w:ascii="Arial" w:hAnsi="Arial" w:cs="Arial" w:eastAsia="Arial"/>
                <w:b/>
                <w:color w:val="000000"/>
                <w:sz w:val="21"/>
              </w:rPr>
              <w:t>Situación actual</w:t>
            </w:r>
          </w:p>
        </w:tc>
        <w:tc>
          <w:tcPr>
            <w:tcW w:type="dxa" w:w="3528"/>
            <w:vAlign w:val="center"/>
            <w:tcMar>
              <w:top w:w="90" w:type="dxa"/>
              <w:start w:w="100" w:type="dxa"/>
              <w:bottom w:w="90" w:type="dxa"/>
              <w:end w:w="100" w:type="dxa"/>
            </w:tcMar>
            <w:shd w:fill="FFFFFF" w:val="clear"/>
            <w:tcBorders>
              <w:left w:val="nil"/>
              <w:right w:val="nil"/>
              <w:top w:val="single" w:sz="8" w:color="000000"/>
              <w:bottom w:val="single" w:sz="8" w:color="000000"/>
            </w:tcBorders>
          </w:tcPr>
          <w:p>
            <w:pPr>
              <w:spacing w:after="0" w:before="0" w:line="240" w:lineRule="auto"/>
              <w:ind w:left="0"/>
              <w:jc w:val="left"/>
            </w:pPr>
            <w:r>
              <w:rPr>
                <w:rFonts w:ascii="Arial" w:hAnsi="Arial" w:cs="Arial" w:eastAsia="Arial"/>
                <w:b/>
                <w:color w:val="000000"/>
                <w:sz w:val="21"/>
              </w:rPr>
              <w:t>Validación pendiente</w:t>
            </w:r>
          </w:p>
        </w:tc>
      </w:tr>
      <w:tr>
        <w:trPr>
          <w:cantSplit/>
        </w:trPr>
        <w:tc>
          <w:tcPr>
            <w:tcW w:type="dxa" w:w="208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Prototipo digital</w:t>
            </w:r>
          </w:p>
        </w:tc>
        <w:tc>
          <w:tcPr>
            <w:tcW w:type="dxa" w:w="338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Permite organizar hogares y dispositivos y consultar información de consumo.</w:t>
            </w:r>
          </w:p>
        </w:tc>
        <w:tc>
          <w:tcPr>
            <w:tcW w:type="dxa" w:w="352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Completar pruebas integrales con usuarios y escenarios representativos.</w:t>
            </w:r>
          </w:p>
        </w:tc>
      </w:tr>
      <w:tr>
        <w:trPr>
          <w:cantSplit/>
        </w:trPr>
        <w:tc>
          <w:tcPr>
            <w:tcW w:type="dxa" w:w="208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Herramientas de seguimiento</w:t>
            </w:r>
          </w:p>
        </w:tc>
        <w:tc>
          <w:tcPr>
            <w:tcW w:type="dxa" w:w="338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Incluye funciones de consulta, metas, alertas e informes.</w:t>
            </w:r>
          </w:p>
        </w:tc>
        <w:tc>
          <w:tcPr>
            <w:tcW w:type="dxa" w:w="352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Comprobar su comprensión, exactitud y utilidad con datos de uso.</w:t>
            </w:r>
          </w:p>
        </w:tc>
      </w:tr>
      <w:tr>
        <w:trPr>
          <w:cantSplit/>
        </w:trPr>
        <w:tc>
          <w:tcPr>
            <w:tcW w:type="dxa" w:w="208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Conexión con el medidor</w:t>
            </w:r>
          </w:p>
        </w:tc>
        <w:tc>
          <w:tcPr>
            <w:tcW w:type="dxa" w:w="338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La integración está contemplada en el prototipo digital.</w:t>
            </w:r>
          </w:p>
        </w:tc>
        <w:tc>
          <w:tcPr>
            <w:tcW w:type="dxa" w:w="352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Probar el circuito físico completo y calibrar el dispositivo.</w:t>
            </w:r>
          </w:p>
        </w:tc>
      </w:tr>
      <w:tr>
        <w:trPr>
          <w:cantSplit/>
        </w:trPr>
        <w:tc>
          <w:tcPr>
            <w:tcW w:type="dxa" w:w="208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Acceso móvil</w:t>
            </w:r>
          </w:p>
        </w:tc>
        <w:tc>
          <w:tcPr>
            <w:tcW w:type="dxa" w:w="3384"/>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La experiencia móvil forma parte de la solución propuesta.</w:t>
            </w:r>
          </w:p>
        </w:tc>
        <w:tc>
          <w:tcPr>
            <w:tcW w:type="dxa" w:w="3528"/>
            <w:vAlign w:val="center"/>
            <w:tcMar>
              <w:top w:w="90" w:type="dxa"/>
              <w:start w:w="100" w:type="dxa"/>
              <w:bottom w:w="90" w:type="dxa"/>
              <w:end w:w="100" w:type="dxa"/>
            </w:tcMar>
            <w:shd w:fill="FFFFFF" w:val="clear"/>
            <w:tcBorders>
              <w:left w:val="nil"/>
              <w:right w:val="nil"/>
              <w:top w:val="nil"/>
              <w:bottom w:val="nil"/>
            </w:tcBorders>
          </w:tcPr>
          <w:p>
            <w:pPr>
              <w:spacing w:after="0" w:before="0" w:line="240" w:lineRule="auto"/>
              <w:ind w:left="0"/>
              <w:jc w:val="left"/>
            </w:pPr>
            <w:r>
              <w:rPr>
                <w:rFonts w:ascii="Arial" w:hAnsi="Arial" w:cs="Arial" w:eastAsia="Arial"/>
                <w:b w:val="0"/>
                <w:color w:val="000000"/>
                <w:sz w:val="21"/>
              </w:rPr>
              <w:t>Validar el uso en un teléfono real y revisar las funciones dependientes del equipo.</w:t>
            </w:r>
          </w:p>
        </w:tc>
      </w:tr>
      <w:tr>
        <w:trPr>
          <w:cantSplit/>
        </w:trPr>
        <w:tc>
          <w:tcPr>
            <w:tcW w:type="dxa" w:w="2088"/>
            <w:vAlign w:val="center"/>
            <w:tcMar>
              <w:top w:w="90" w:type="dxa"/>
              <w:start w:w="100" w:type="dxa"/>
              <w:bottom w:w="90" w:type="dxa"/>
              <w:end w:w="100" w:type="dxa"/>
            </w:tcMar>
            <w:shd w:fill="FFFFFF" w:val="clear"/>
            <w:tcBorders>
              <w:left w:val="nil"/>
              <w:right w:val="nil"/>
              <w:top w:val="nil"/>
              <w:bottom w:val="single" w:sz="8" w:color="000000"/>
            </w:tcBorders>
          </w:tcPr>
          <w:p>
            <w:pPr>
              <w:spacing w:after="0" w:before="0" w:line="240" w:lineRule="auto"/>
              <w:ind w:left="0"/>
              <w:jc w:val="left"/>
            </w:pPr>
            <w:r>
              <w:rPr>
                <w:rFonts w:ascii="Arial" w:hAnsi="Arial" w:cs="Arial" w:eastAsia="Arial"/>
                <w:b w:val="0"/>
                <w:color w:val="000000"/>
                <w:sz w:val="21"/>
              </w:rPr>
              <w:t>Ahorro y consumo por actividad</w:t>
            </w:r>
          </w:p>
        </w:tc>
        <w:tc>
          <w:tcPr>
            <w:tcW w:type="dxa" w:w="3384"/>
            <w:vAlign w:val="center"/>
            <w:tcMar>
              <w:top w:w="90" w:type="dxa"/>
              <w:start w:w="100" w:type="dxa"/>
              <w:bottom w:w="90" w:type="dxa"/>
              <w:end w:w="100" w:type="dxa"/>
            </w:tcMar>
            <w:shd w:fill="FFFFFF" w:val="clear"/>
            <w:tcBorders>
              <w:left w:val="nil"/>
              <w:right w:val="nil"/>
              <w:top w:val="nil"/>
              <w:bottom w:val="single" w:sz="8" w:color="000000"/>
            </w:tcBorders>
          </w:tcPr>
          <w:p>
            <w:pPr>
              <w:spacing w:after="0" w:before="0" w:line="240" w:lineRule="auto"/>
              <w:ind w:left="0"/>
              <w:jc w:val="left"/>
            </w:pPr>
            <w:r>
              <w:rPr>
                <w:rFonts w:ascii="Arial" w:hAnsi="Arial" w:cs="Arial" w:eastAsia="Arial"/>
                <w:b w:val="0"/>
                <w:color w:val="000000"/>
                <w:sz w:val="21"/>
              </w:rPr>
              <w:t>No hay resultados medidos que acrediten ahorro ni clasificación detallada por actividad.</w:t>
            </w:r>
          </w:p>
        </w:tc>
        <w:tc>
          <w:tcPr>
            <w:tcW w:type="dxa" w:w="3528"/>
            <w:vAlign w:val="center"/>
            <w:tcMar>
              <w:top w:w="90" w:type="dxa"/>
              <w:start w:w="100" w:type="dxa"/>
              <w:bottom w:w="90" w:type="dxa"/>
              <w:end w:w="100" w:type="dxa"/>
            </w:tcMar>
            <w:shd w:fill="FFFFFF" w:val="clear"/>
            <w:tcBorders>
              <w:left w:val="nil"/>
              <w:right w:val="nil"/>
              <w:top w:val="nil"/>
              <w:bottom w:val="single" w:sz="8" w:color="000000"/>
            </w:tcBorders>
          </w:tcPr>
          <w:p>
            <w:pPr>
              <w:spacing w:after="0" w:before="0" w:line="240" w:lineRule="auto"/>
              <w:ind w:left="0"/>
              <w:jc w:val="left"/>
            </w:pPr>
            <w:r>
              <w:rPr>
                <w:rFonts w:ascii="Arial" w:hAnsi="Arial" w:cs="Arial" w:eastAsia="Arial"/>
                <w:b w:val="0"/>
                <w:color w:val="000000"/>
                <w:sz w:val="21"/>
              </w:rPr>
              <w:t>Definir una línea base y realizar un piloto con mediciones comparables.</w:t>
            </w:r>
          </w:p>
        </w:tc>
      </w:tr>
    </w:tbl>
    <w:p>
      <w:pPr>
        <w:spacing w:line="480" w:lineRule="auto" w:before="0" w:after="0"/>
        <w:jc w:val="left"/>
      </w:pPr>
      <w:r>
        <w:t xml:space="preserve"> </w:t>
      </w:r>
    </w:p>
    <w:p>
      <w:pPr>
        <w:pStyle w:val="Heading1"/>
        <w:spacing w:after="0" w:before="0" w:line="480" w:lineRule="auto"/>
        <w:ind w:left="259"/>
        <w:jc w:val="center"/>
      </w:pPr>
      <w:r>
        <w:rPr>
          <w:rFonts w:ascii="Arial" w:hAnsi="Arial" w:cs="Arial" w:eastAsia="Arial"/>
          <w:b/>
          <w:color w:val="000000"/>
          <w:sz w:val="22"/>
        </w:rPr>
        <w:t>Conclusión</w:t>
      </w:r>
    </w:p>
    <w:p>
      <w:pPr>
        <w:spacing w:before="0" w:after="0" w:line="480" w:lineRule="auto"/>
        <w:ind w:firstLine="720"/>
        <w:jc w:val="left"/>
      </w:pPr>
      <w:r>
        <w:rPr>
          <w:rFonts w:ascii="Arial" w:hAnsi="Arial" w:cs="Arial" w:eastAsia="Arial"/>
          <w:color w:val="000000"/>
          <w:sz w:val="22"/>
        </w:rPr>
        <w:t>Hidro Smart plantea una herramienta para que los hogares consulten lecturas de agua y revisen cambios en su consumo desde una plataforma digital. El prototipo reúne funciones de seguimiento que pueden apoyar decisiones cotidianas, siempre que la información disponible sea confiable y comprensible.</w:t>
      </w:r>
    </w:p>
    <w:p>
      <w:pPr>
        <w:spacing w:before="0" w:after="0" w:line="480" w:lineRule="auto"/>
        <w:ind w:firstLine="720"/>
        <w:jc w:val="left"/>
      </w:pPr>
      <w:r>
        <w:rPr>
          <w:rFonts w:ascii="Arial" w:hAnsi="Arial" w:cs="Arial" w:eastAsia="Arial"/>
          <w:color w:val="000000"/>
          <w:sz w:val="22"/>
        </w:rPr>
        <w:t>El siguiente paso para demostrar su utilidad es validar la conexión física, calibrar el medidor, probar la experiencia móvil y realizar un piloto con una línea base. Hasta contar con esas evidencias, el ahorro, la clasificación por actividad y la detección de fugas deben mantenerse como objetivos por comprobar.</w:t>
      </w:r>
    </w:p>
    <w:p>
      <w:pPr>
        <w:pStyle w:val="Heading1"/>
        <w:pageBreakBefore/>
        <w:spacing w:before="0" w:after="0" w:line="480" w:lineRule="auto"/>
        <w:jc w:val="center"/>
      </w:pPr>
      <w:r>
        <w:t>Referencias</w:t>
      </w:r>
    </w:p>
    <w:p>
      <w:pPr>
        <w:spacing w:line="480" w:lineRule="auto" w:before="0" w:after="0"/>
        <w:ind w:left="720" w:hanging="720"/>
        <w:jc w:val="left"/>
      </w:pPr>
      <w:r>
        <w:rPr>
          <w:rFonts w:ascii="Arial" w:hAnsi="Arial" w:cs="Arial" w:eastAsia="Arial"/>
          <w:i w:val="0"/>
          <w:color w:val="000000"/>
          <w:sz w:val="22"/>
        </w:rPr>
        <w:t xml:space="preserve">Comisión de Regulación de Agua Potable y Saneamiento Básico. (2024, 18 de marzo). </w:t>
      </w:r>
      <w:r>
        <w:rPr>
          <w:rFonts w:ascii="Arial" w:hAnsi="Arial" w:cs="Arial" w:eastAsia="Arial"/>
          <w:i/>
          <w:color w:val="000000"/>
          <w:sz w:val="22"/>
        </w:rPr>
        <w:t>Concepto 20240120022101 de 2024</w:t>
      </w:r>
      <w:r>
        <w:rPr>
          <w:rFonts w:ascii="Arial" w:hAnsi="Arial" w:cs="Arial" w:eastAsia="Arial"/>
          <w:i w:val="0"/>
          <w:color w:val="000000"/>
          <w:sz w:val="22"/>
        </w:rPr>
        <w:t>. https://normas.cra.gov.co/gestor/docs/concepto_cra_0022101_2024.htm</w:t>
      </w:r>
    </w:p>
    <w:p>
      <w:pPr>
        <w:spacing w:line="480" w:lineRule="auto" w:before="0" w:after="0"/>
        <w:ind w:left="720" w:hanging="720"/>
        <w:jc w:val="left"/>
      </w:pPr>
      <w:r>
        <w:rPr>
          <w:rFonts w:ascii="Arial" w:hAnsi="Arial" w:cs="Arial" w:eastAsia="Arial"/>
          <w:i w:val="0"/>
          <w:color w:val="000000"/>
          <w:sz w:val="22"/>
        </w:rPr>
        <w:t xml:space="preserve">Comisión de Regulación de Agua Potable y Saneamiento Básico. (2026, 19 de febrero). </w:t>
      </w:r>
      <w:r>
        <w:rPr>
          <w:rFonts w:ascii="Arial" w:hAnsi="Arial" w:cs="Arial" w:eastAsia="Arial"/>
          <w:i/>
          <w:color w:val="000000"/>
          <w:sz w:val="22"/>
        </w:rPr>
        <w:t>Concepto 20260300017081 de 2026</w:t>
      </w:r>
      <w:r>
        <w:rPr>
          <w:rFonts w:ascii="Arial" w:hAnsi="Arial" w:cs="Arial" w:eastAsia="Arial"/>
          <w:i w:val="0"/>
          <w:color w:val="000000"/>
          <w:sz w:val="22"/>
        </w:rPr>
        <w:t>. https://normas.cra.gov.co/gestor/docs/concepto_cra_0017081_2026.htm</w:t>
      </w:r>
    </w:p>
    <w:p>
      <w:pPr>
        <w:spacing w:line="480" w:lineRule="auto" w:before="0" w:after="0"/>
        <w:ind w:left="720" w:hanging="720"/>
        <w:jc w:val="left"/>
      </w:pPr>
      <w:r>
        <w:rPr>
          <w:rFonts w:ascii="Arial" w:hAnsi="Arial" w:cs="Arial" w:eastAsia="Arial"/>
          <w:i w:val="0"/>
          <w:color w:val="000000"/>
          <w:sz w:val="22"/>
        </w:rPr>
        <w:t xml:space="preserve">Instituto de Hidrología, Meteorología y Estudios Ambientales. (2023). </w:t>
      </w:r>
      <w:r>
        <w:rPr>
          <w:rFonts w:ascii="Arial" w:hAnsi="Arial" w:cs="Arial" w:eastAsia="Arial"/>
          <w:i/>
          <w:color w:val="000000"/>
          <w:sz w:val="22"/>
        </w:rPr>
        <w:t>Resumen ejecutivo: Estudio nacional del agua 2022</w:t>
      </w:r>
      <w:r>
        <w:rPr>
          <w:rFonts w:ascii="Arial" w:hAnsi="Arial" w:cs="Arial" w:eastAsia="Arial"/>
          <w:i w:val="0"/>
          <w:color w:val="000000"/>
          <w:sz w:val="22"/>
        </w:rPr>
        <w:t>. https://www.ideam.gov.co/sites/default/files/prensa/boletines/2024-08-23/resumen_ejecutivo_estudio_nacional_del_agua_2022_0.pdf</w:t>
      </w:r>
    </w:p>
    <w:p>
      <w:pPr>
        <w:spacing w:line="480" w:lineRule="auto" w:before="0" w:after="0"/>
        <w:ind w:left="720" w:hanging="720"/>
        <w:jc w:val="left"/>
      </w:pPr>
      <w:r>
        <w:rPr>
          <w:rFonts w:ascii="Arial" w:hAnsi="Arial" w:cs="Arial" w:eastAsia="Arial"/>
          <w:i w:val="0"/>
          <w:color w:val="000000"/>
          <w:sz w:val="22"/>
        </w:rPr>
        <w:t xml:space="preserve">Superintendencia de Servicios Públicos Domiciliarios. (2025). </w:t>
      </w:r>
      <w:r>
        <w:rPr>
          <w:rFonts w:ascii="Arial" w:hAnsi="Arial" w:cs="Arial" w:eastAsia="Arial"/>
          <w:i/>
          <w:color w:val="000000"/>
          <w:sz w:val="22"/>
        </w:rPr>
        <w:t>Informe sectorial de los servicios públicos domiciliarios de acueducto y alcantarillado: vigencia 2024</w:t>
      </w:r>
      <w:r>
        <w:rPr>
          <w:rFonts w:ascii="Arial" w:hAnsi="Arial" w:cs="Arial" w:eastAsia="Arial"/>
          <w:i w:val="0"/>
          <w:color w:val="000000"/>
          <w:sz w:val="22"/>
        </w:rPr>
        <w:t>. https://www.superservicios.gov.co/sites/default/files/inline-files/Informe-Sectorial-de-los-Servicios-Publicos-Domiciliarios-de-Acueducto-y-Alcantarillado-2024.pdf</w:t>
      </w:r>
    </w:p>
    <w:sectPr w:rsidR="00FC693F" w:rsidRPr="0006063C" w:rsidSect="00034616">
      <w:footerReference w:type="default" r:id="rId9"/>
      <w:head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cs="Arial" w:eastAsia="Arial"/>
        <w:color w:val="000000"/>
        <w:sz w:val="22"/>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Arial" w:hAnsi="Arial" w:cs="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Arial" w:hAnsi="Arial" w:cs="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0" w:line="480" w:lineRule="auto" w:before="0"/>
      <w:contextualSpacing/>
    </w:pPr>
    <w:rPr>
      <w:rFonts w:asciiTheme="majorHAnsi" w:eastAsiaTheme="majorEastAsia" w:hAnsiTheme="majorHAnsi" w:cstheme="majorBidi" w:ascii="Arial" w:hAnsi="Arial" w:cs="Arial" w:eastAsia="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cs="Arial" w:eastAsia="Arial"/>
      <w:color w:val="000000"/>
      <w:sz w:val="22"/>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Hidro Smart</dc:title>
  <dc:subject>Control inteligente del consumo de agua en el hogar</dc:subject>
  <dc:creator>Equipo de formación ADSO</dc:creator>
  <cp:keywords>Hidro Smart, anteproyecto, consumo de agua</cp:keywords>
  <dc:description>generated by python-docx</dc:description>
  <cp:lastModifiedBy/>
  <cp:revision>1</cp:revision>
  <dcterms:created xsi:type="dcterms:W3CDTF">2013-12-23T23:15:00Z</dcterms:created>
  <dcterms:modified xsi:type="dcterms:W3CDTF">2013-12-23T23:15:00Z</dcterms:modified>
  <cp:category/>
</cp:coreProperties>
</file>