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822960" cy="694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o-safe-z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694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Propuesta técnica</w:t>
        <w:br/>
        <w:t>y comercial</w:t>
      </w:r>
    </w:p>
    <w:p>
      <w:pPr>
        <w:pStyle w:val="Subtitle"/>
      </w:pPr>
      <w:r>
        <w:t>Sistema Integral de Gestión de RRHH para MARKINT</w:t>
      </w:r>
    </w:p>
    <w:p>
      <w:r>
        <w:t>Atención: Dirección / Área de Gestión Humana – MARKINT</w:t>
        <w:br/>
        <w:t>Preparado por: Safe Zone Perú</w:t>
        <w:br/>
        <w:t>Fecha de emisión: 22 de octubre de 2026</w:t>
      </w:r>
    </w:p>
    <w:p>
      <w:pPr>
        <w:pStyle w:val="Heading2"/>
      </w:pPr>
      <w:r>
        <w:t>Resumen ejecutivo</w:t>
      </w:r>
    </w:p>
    <w:p>
      <w:r>
        <w:t>Safe Zone Perú propone el desarrollo e implementación desde cero de una plataforma web a medida para centralizar la administración del personal de MARKINT. La solución automatizará el control de asistencia, las solicitudes administrativas y el cálculo base de planillas; incorporará la recepción de boletas con firma electrónica por trazo táctil, la comunicación interna y las encuestas de clima laboral.</w:t>
      </w:r>
    </w:p>
    <w:p>
      <w:r>
        <w:t>Los procesos se conectarán mediante perfiles de acceso diferenciados, para que colaboradores, jefaturas y Recursos Humanos cuenten con la información y las funciones correspondientes a sus responsabilidades.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10283F"/>
          </w:tcPr>
          <w:p>
            <w:pPr>
              <w:spacing w:after="120"/>
            </w:pPr>
            <w:r>
              <w:rPr>
                <w:b/>
                <w:color w:val="FFFFFF"/>
                <w:sz w:val="19"/>
              </w:rPr>
              <w:t>Propuesta</w:t>
            </w:r>
          </w:p>
        </w:tc>
        <w:tc>
          <w:tcPr>
            <w:tcW w:type="dxa" w:w="4876"/>
            <w:shd w:fill="10283F"/>
          </w:tcPr>
          <w:p>
            <w:pPr>
              <w:spacing w:after="120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Inversión total del desarrollo</w:t>
            </w:r>
          </w:p>
        </w:tc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S/ 3,500.00 PEN · monto fijo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Plazo estimado</w:t>
            </w:r>
          </w:p>
        </w:tc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6 semanas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Garantía posterior a la entrega</w:t>
            </w:r>
          </w:p>
        </w:tc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60 días calendario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Validez de la propuesta</w:t>
            </w:r>
          </w:p>
        </w:tc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15 días calendario desde su emisión</w:t>
            </w:r>
          </w:p>
        </w:tc>
      </w:tr>
    </w:tbl>
    <w:p>
      <w:pPr>
        <w:pStyle w:val="Heading2"/>
      </w:pPr>
      <w:r>
        <w:t>Enfoque del servicio</w:t>
      </w:r>
    </w:p>
    <w:p>
      <w:r>
        <w:t>Diseño, programación, pruebas, despliegue y capacitación del sistema, con entregas funcionales para revisión del equipo designado por MARKINT.</w:t>
      </w:r>
    </w:p>
    <w:p>
      <w:r>
        <w:br w:type="page"/>
      </w:r>
    </w:p>
    <w:p>
      <w:pPr>
        <w:pStyle w:val="Heading1"/>
      </w:pPr>
      <w:r>
        <w:t>Módulos y funcionalidades</w:t>
      </w:r>
    </w:p>
    <w:p>
      <w:pPr>
        <w:pStyle w:val="Heading2"/>
      </w:pPr>
      <w:r>
        <w:t>Expediente digital de personal</w:t>
      </w:r>
    </w:p>
    <w:p>
      <w:r>
        <w:t>Centralización de datos de colaboradores, contratos, cargos, áreas, sedes e historial de movimientos.</w:t>
      </w:r>
    </w:p>
    <w:p>
      <w:pPr>
        <w:pStyle w:val="Heading2"/>
      </w:pPr>
      <w:r>
        <w:t>Control de asistencia e incidencias</w:t>
      </w:r>
    </w:p>
    <w:p>
      <w:r>
        <w:t>Programación de horarios, registro de entradas y salidas, tardanzas, horas extra e incidencias.</w:t>
      </w:r>
    </w:p>
    <w:p>
      <w:pPr>
        <w:pStyle w:val="Heading2"/>
      </w:pPr>
      <w:r>
        <w:t>Gestión de vacaciones y licencias</w:t>
      </w:r>
    </w:p>
    <w:p>
      <w:r>
        <w:t>Solicitudes en línea por el colaborador y flujos de aprobación o rechazo por jefaturas o Recursos Humanos.</w:t>
      </w:r>
    </w:p>
    <w:p>
      <w:pPr>
        <w:pStyle w:val="Heading2"/>
      </w:pPr>
      <w:r>
        <w:t>Planilla y documentos</w:t>
      </w:r>
    </w:p>
    <w:p>
      <w:r>
        <w:t>Cálculo y consolidación de haberes, descuentos y beneficios de ley para validación contable; generación de archivos bancarios. Carga y organización de boletas y documentos.</w:t>
      </w:r>
    </w:p>
    <w:p>
      <w:pPr>
        <w:pStyle w:val="Heading2"/>
      </w:pPr>
      <w:r>
        <w:t>Encuestas y clima laboral</w:t>
      </w:r>
    </w:p>
    <w:p>
      <w:r>
        <w:t>Campañas de encuestas segmentadas por áreas o sedes, reglas de confidencialidad y seguimiento de planes de acción.</w:t>
      </w:r>
    </w:p>
    <w:p>
      <w:pPr>
        <w:pStyle w:val="Heading2"/>
      </w:pPr>
      <w:r>
        <w:t>Comunicación interna</w:t>
      </w:r>
    </w:p>
    <w:p>
      <w:r>
        <w:t>Avisos y comunicados segmentados, notificaciones en la plataforma y por correo, y seguimiento de cobertura de lectura.</w:t>
      </w:r>
    </w:p>
    <w:p>
      <w:pPr>
        <w:pStyle w:val="Heading2"/>
      </w:pPr>
      <w:r>
        <w:t>Seguridad y permisos</w:t>
      </w:r>
    </w:p>
    <w:p>
      <w:r>
        <w:t>Perfiles de acceso diferenciados para Administrador, Recursos Humanos, Jefatura y Empleado.</w:t>
      </w:r>
    </w:p>
    <w:p>
      <w:pPr>
        <w:pStyle w:val="Heading2"/>
      </w:pPr>
      <w:r>
        <w:t>Firma electrónica de recepción por trazo táctil</w:t>
      </w:r>
    </w:p>
    <w:p>
      <w:r>
        <w:t>El colaborador podrá firmar la recepción de sus boletas mediante un trazo directo en pantalla, usando un dispositivo táctil o el mouse. La constancia se asociará al documento y al usuario, con registro de fecha, hora e IP de acceso para su trazabilidad.</w:t>
      </w:r>
    </w:p>
    <w:p>
      <w:r>
        <w:br w:type="page"/>
      </w:r>
    </w:p>
    <w:p>
      <w:pPr>
        <w:pStyle w:val="Heading1"/>
      </w:pPr>
      <w:r>
        <w:t>Implementación y entrega</w:t>
      </w:r>
    </w:p>
    <w:p>
      <w:pPr>
        <w:pStyle w:val="Heading2"/>
      </w:pPr>
      <w:r>
        <w:t>Cronograma de trabajo · 6 semanas</w:t>
      </w:r>
    </w:p>
    <w:p>
      <w:r>
        <w:t>El proyecto se ejecutará mediante hitos de entrega y revisión funcional con el equipo de MARKINT.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10283F"/>
          </w:tcPr>
          <w:p>
            <w:pPr>
              <w:spacing w:after="120"/>
            </w:pPr>
            <w:r>
              <w:rPr>
                <w:b/>
                <w:color w:val="FFFFFF"/>
                <w:sz w:val="19"/>
              </w:rPr>
              <w:t>Periodo</w:t>
            </w:r>
          </w:p>
        </w:tc>
        <w:tc>
          <w:tcPr>
            <w:tcW w:type="dxa" w:w="4876"/>
            <w:shd w:fill="10283F"/>
          </w:tcPr>
          <w:p>
            <w:pPr>
              <w:spacing w:after="120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Semanas 1 y 2</w:t>
            </w:r>
          </w:p>
        </w:tc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Levantamiento detallado de requerimientos, diseño de la base de datos y desarrollo del expediente de personal.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Semanas 3 y 4</w:t>
            </w:r>
          </w:p>
        </w:tc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Desarrollo de asistencia, vacaciones y lógica de planilla con generación de reportes.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Semana 5</w:t>
            </w:r>
          </w:p>
        </w:tc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Integración de firma táctil, encuestas y comunicación interna; pruebas de flujo.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Semana 6</w:t>
            </w:r>
          </w:p>
        </w:tc>
        <w:tc>
          <w:tcPr>
            <w:tcW w:type="dxa" w:w="4876"/>
          </w:tcPr>
          <w:p>
            <w:pPr>
              <w:spacing w:after="120"/>
            </w:pPr>
            <w:r>
              <w:rPr>
                <w:sz w:val="19"/>
              </w:rPr>
              <w:t>Pruebas integrales de calidad, despliegue en producción y capacitación al personal.</w:t>
            </w:r>
          </w:p>
        </w:tc>
      </w:tr>
    </w:tbl>
    <w:p>
      <w:pPr>
        <w:pStyle w:val="Heading2"/>
      </w:pPr>
      <w:r>
        <w:t>Entregables</w:t>
      </w:r>
    </w:p>
    <w:p>
      <w:pPr>
        <w:pStyle w:val="ListBullet"/>
      </w:pPr>
      <w:r>
        <w:t>Plataforma web en producción, configurada y funcional conforme al alcance acordado.</w:t>
      </w:r>
    </w:p>
    <w:p>
      <w:pPr>
        <w:pStyle w:val="ListBullet"/>
      </w:pPr>
      <w:r>
        <w:t>Código fuente documentado y scripts de base de datos.</w:t>
      </w:r>
    </w:p>
    <w:p>
      <w:pPr>
        <w:pStyle w:val="ListBullet"/>
      </w:pPr>
      <w:r>
        <w:t>Sesión de capacitación para el equipo administrador y colaboradores.</w:t>
      </w:r>
    </w:p>
    <w:p>
      <w:pPr>
        <w:pStyle w:val="Heading2"/>
      </w:pPr>
      <w:r>
        <w:t>Garantía posterior a la entrega</w:t>
      </w:r>
    </w:p>
    <w:p>
      <w:r>
        <w:t>Se brindarán 60 días calendario desde la puesta en marcha para corregir incidencias o errores del desarrollo sin costo adicional, dentro del alcance contratado.</w:t>
      </w:r>
    </w:p>
    <w:p>
      <w:pPr>
        <w:pStyle w:val="Heading2"/>
      </w:pPr>
      <w:r>
        <w:t>Alcance de la plataforma</w:t>
      </w:r>
    </w:p>
    <w:p>
      <w:r>
        <w:t>La plataforma web será adaptable a computadoras, tabletas y teléfonos. El proyecto no incluye integración directa con relojes biométricos físicos ni el desarrollo de una aplicación móvil nativa.</w:t>
      </w:r>
    </w:p>
    <w:p>
      <w:pPr>
        <w:pStyle w:val="Heading2"/>
      </w:pPr>
      <w:r>
        <w:t>Alojamiento e infraestructura</w:t>
      </w:r>
    </w:p>
    <w:p>
      <w:r>
        <w:t>El costo del servidor de alojamiento web (VPS) y de la infraestructura cloud será asumido directamente por MARKINT. El despliegue del sistema en el servidor de producción forma parte del servicio de implementación.</w:t>
      </w:r>
    </w:p>
    <w:p>
      <w:r>
        <w:br w:type="page"/>
      </w:r>
    </w:p>
    <w:p>
      <w:pPr>
        <w:pStyle w:val="Heading1"/>
      </w:pPr>
      <w:r>
        <w:t>Propuesta económica</w:t>
      </w:r>
    </w:p>
    <w:p>
      <w:pPr>
        <w:pStyle w:val="Heading2"/>
      </w:pPr>
      <w:r>
        <w:t>Inversión total del desarrollo</w:t>
      </w:r>
    </w:p>
    <w:p>
      <w:r>
        <w:rPr>
          <w:b/>
          <w:color w:val="08A6BB"/>
          <w:sz w:val="60"/>
        </w:rPr>
        <w:t>S/ 3,500.00 PEN</w:t>
      </w:r>
    </w:p>
    <w:p>
      <w:r>
        <w:t>Monto fijo por el desarrollo a medida descrito en esta propuesta, sin cobro por colaborador.</w:t>
      </w:r>
    </w:p>
    <w:p>
      <w:pPr>
        <w:pStyle w:val="Heading2"/>
      </w:pPr>
      <w:r>
        <w:t>Esquema de pagos por hitos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fill="10283F"/>
          </w:tcPr>
          <w:p>
            <w:pPr>
              <w:spacing w:after="120"/>
            </w:pPr>
            <w:r>
              <w:rPr>
                <w:b/>
                <w:color w:val="FFFFFF"/>
                <w:sz w:val="19"/>
              </w:rPr>
              <w:t>Pago</w:t>
            </w:r>
          </w:p>
        </w:tc>
        <w:tc>
          <w:tcPr>
            <w:tcW w:type="dxa" w:w="3251"/>
            <w:shd w:fill="10283F"/>
          </w:tcPr>
          <w:p>
            <w:pPr>
              <w:spacing w:after="120"/>
            </w:pPr>
            <w:r>
              <w:rPr>
                <w:b/>
                <w:color w:val="FFFFFF"/>
                <w:sz w:val="19"/>
              </w:rPr>
              <w:t>Importe</w:t>
            </w:r>
          </w:p>
        </w:tc>
        <w:tc>
          <w:tcPr>
            <w:tcW w:type="dxa" w:w="3251"/>
            <w:shd w:fill="10283F"/>
          </w:tcPr>
          <w:p>
            <w:pPr>
              <w:spacing w:after="120"/>
            </w:pPr>
            <w:r>
              <w:rPr>
                <w:b/>
                <w:color w:val="FFFFFF"/>
                <w:sz w:val="19"/>
              </w:rPr>
              <w:t>Condición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120"/>
            </w:pPr>
            <w:r>
              <w:rPr>
                <w:sz w:val="19"/>
              </w:rPr>
              <w:t>40 %</w:t>
            </w:r>
          </w:p>
        </w:tc>
        <w:tc>
          <w:tcPr>
            <w:tcW w:type="dxa" w:w="3251"/>
          </w:tcPr>
          <w:p>
            <w:pPr>
              <w:spacing w:after="120"/>
            </w:pPr>
            <w:r>
              <w:rPr>
                <w:sz w:val="19"/>
              </w:rPr>
              <w:t>S/ 1,400.00</w:t>
            </w:r>
          </w:p>
        </w:tc>
        <w:tc>
          <w:tcPr>
            <w:tcW w:type="dxa" w:w="3251"/>
          </w:tcPr>
          <w:p>
            <w:pPr>
              <w:spacing w:after="120"/>
            </w:pPr>
            <w:r>
              <w:rPr>
                <w:sz w:val="19"/>
              </w:rPr>
              <w:t>A la aceptación de la propuesta y reunión de inicio del proyecto.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120"/>
            </w:pPr>
            <w:r>
              <w:rPr>
                <w:sz w:val="19"/>
              </w:rPr>
              <w:t>30 %</w:t>
            </w:r>
          </w:p>
        </w:tc>
        <w:tc>
          <w:tcPr>
            <w:tcW w:type="dxa" w:w="3251"/>
          </w:tcPr>
          <w:p>
            <w:pPr>
              <w:spacing w:after="120"/>
            </w:pPr>
            <w:r>
              <w:rPr>
                <w:sz w:val="19"/>
              </w:rPr>
              <w:t>S/ 1,050.00</w:t>
            </w:r>
          </w:p>
        </w:tc>
        <w:tc>
          <w:tcPr>
            <w:tcW w:type="dxa" w:w="3251"/>
          </w:tcPr>
          <w:p>
            <w:pPr>
              <w:spacing w:after="120"/>
            </w:pPr>
            <w:r>
              <w:rPr>
                <w:sz w:val="19"/>
              </w:rPr>
              <w:t>A la presentación del avance funcional de Personal, Asistencias y Planilla.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120"/>
            </w:pPr>
            <w:r>
              <w:rPr>
                <w:sz w:val="19"/>
              </w:rPr>
              <w:t>30 %</w:t>
            </w:r>
          </w:p>
        </w:tc>
        <w:tc>
          <w:tcPr>
            <w:tcW w:type="dxa" w:w="3251"/>
          </w:tcPr>
          <w:p>
            <w:pPr>
              <w:spacing w:after="120"/>
            </w:pPr>
            <w:r>
              <w:rPr>
                <w:sz w:val="19"/>
              </w:rPr>
              <w:t>S/ 1,050.00</w:t>
            </w:r>
          </w:p>
        </w:tc>
        <w:tc>
          <w:tcPr>
            <w:tcW w:type="dxa" w:w="3251"/>
          </w:tcPr>
          <w:p>
            <w:pPr>
              <w:spacing w:after="120"/>
            </w:pPr>
            <w:r>
              <w:rPr>
                <w:sz w:val="19"/>
              </w:rPr>
              <w:t>Contra entrega del sistema desplegado, probado y con capacitación finalizada.</w:t>
            </w:r>
          </w:p>
        </w:tc>
      </w:tr>
    </w:tbl>
    <w:p>
      <w:pPr>
        <w:pStyle w:val="Heading2"/>
      </w:pPr>
      <w:r>
        <w:t>Coordinación e inicio del proyecto</w:t>
      </w:r>
    </w:p>
    <w:p>
      <w:r>
        <w:t>El plazo se cuenta desde la aceptación de la propuesta, el pago inicial y la entrega de la información y accesos necesarios. MARKINT designará un representante para validar las reglas de cálculo, los archivos bancarios, los flujos de aprobación y los avances funcionales.</w:t>
      </w:r>
    </w:p>
    <w:p>
      <w:r>
        <w:t>Los datos y las reglas de planilla se revisarán con el responsable contable antes de su uso en producción. Las modificaciones al alcance o los retrasos en información y validaciones se acordarán considerando su efecto en el plazo.</w:t>
      </w:r>
    </w:p>
    <w:p>
      <w:pPr>
        <w:pStyle w:val="Heading2"/>
      </w:pPr>
      <w:r>
        <w:t>Validez de la propuesta</w:t>
      </w:r>
    </w:p>
    <w:p>
      <w:r>
        <w:t>15 días calendario a partir de la fecha de emisión: 22 de octubre de 2026.</w:t>
      </w:r>
    </w:p>
    <w:p>
      <w:pPr>
        <w:pStyle w:val="Heading2"/>
      </w:pPr>
      <w:r>
        <w:t>Safe Zone Perú</w:t>
      </w:r>
    </w:p>
    <w:p>
      <w:r>
        <w:t>Desarrollo de soluciones tecnológicas a medida para la gestión de su organización.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1697D"/>
        <w:sz w:val="16"/>
      </w:rPr>
      <w:t xml:space="preserve">Safe Zone Perú  ·  22 de octubre de 2026    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1697D"/>
        <w:sz w:val="16"/>
      </w:rPr>
      <w:t>SAFE ZONE PERÚ                                             MARKINT / PROPUESTA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DejaVu Sans" w:hAnsi="DejaVu Sans"/>
      <w:color w:val="17314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10283F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8A6B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DejaVu Sans" w:hAnsi="DejaVu Sans"/>
      <w:color w:val="10283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DejaVu Sans" w:hAnsi="DejaVu Sans"/>
      <w:i/>
      <w:iCs/>
      <w:color w:val="10283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comercial — Sistema de RRHH para MARKINT</dc:title>
  <dc:subject/>
  <dc:creator>Safe Zone Perú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