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21207" cy="439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o-safe-z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7" cy="439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Sistema de Recursos Humanos</w:t>
        <w:br/>
        <w:t>para MARKINT</w:t>
      </w:r>
    </w:p>
    <w:p>
      <w:r>
        <w:t>Propuesta de desarrollo presentada por Safe Zone Perú</w:t>
      </w:r>
    </w:p>
    <w:p>
      <w:r>
        <w:rPr>
          <w:b/>
        </w:rPr>
        <w:t>Al equipo de Dirección y Gestión Humana de MARKINT:</w:t>
      </w:r>
    </w:p>
    <w:p>
      <w:r>
        <w:t>Les proponemos desarrollar un sistema de Recursos Humanos propio para MARKINT. El trabajo comprende el diseño, la programación y la puesta en funcionamiento de los procesos descritos en esta propuesta, junto con la capacitación de las personas que lo utilizarán.</w:t>
      </w:r>
    </w:p>
    <w:p>
      <w:r>
        <w:t>Sabemos que actualmente trabajan con Buk. Antes de programar, revisaremos con su equipo los procesos que desean mantener y los ajustes que necesitan. Con esa información acordaremos cómo se registran los datos, quién revisa cada solicitud y qué información debe recibir cada responsable.</w:t>
      </w:r>
    </w:p>
    <w:p>
      <w:pPr>
        <w:pStyle w:val="Heading2"/>
      </w:pPr>
      <w:r>
        <w:t>Qué podrá hacer el equipo con el sistema</w:t>
      </w:r>
    </w:p>
    <w:p>
      <w:r>
        <w:t>Consultar el expediente de un colaborador, revisar su asistencia, resolver una solicitud y organizar sus documentos desde la misma plataforma. Cada operación tendrá los accesos y las validaciones que se definan con MARKINT.</w:t>
      </w:r>
    </w:p>
    <w:p>
      <w:pPr>
        <w:pStyle w:val="Heading2"/>
      </w:pPr>
      <w:r>
        <w:t>Personal y expediente laboral</w:t>
      </w:r>
    </w:p>
    <w:p>
      <w:r>
        <w:t>Registro de colaboradores, contratos, cargos, áreas, sedes e historial de movimientos. Recursos Humanos podrá consultar la información y los documentos asociados a cada persona.</w:t>
      </w:r>
    </w:p>
    <w:p>
      <w:pPr>
        <w:pStyle w:val="Heading2"/>
      </w:pPr>
      <w:r>
        <w:t>Horarios, asistencia e incidencias</w:t>
      </w:r>
    </w:p>
    <w:p>
      <w:r>
        <w:t>Programación de horarios y registro de entradas y salidas. Consulta de tardanzas, horas extra e incidencias, con reportes para la revisión del periodo.</w:t>
      </w:r>
    </w:p>
    <w:p>
      <w:pPr>
        <w:pStyle w:val="Heading2"/>
      </w:pPr>
      <w:r>
        <w:t>Vacaciones y licencias</w:t>
      </w:r>
    </w:p>
    <w:p>
      <w:r>
        <w:t>El colaborador registra su solicitud en línea; la jefatura o Recursos Humanos la revisa y aprueba o rechaza. La solicitud conserva su estado para que el interesado pueda consultar la respuesta.</w:t>
      </w:r>
    </w:p>
    <w:p>
      <w:r>
        <w:br w:type="page"/>
      </w:r>
    </w:p>
    <w:p>
      <w:pPr>
        <w:pStyle w:val="Heading1"/>
      </w:pPr>
      <w:r>
        <w:t>Planilla, documentos y participación</w:t>
      </w:r>
    </w:p>
    <w:p>
      <w:pPr>
        <w:pStyle w:val="Heading2"/>
      </w:pPr>
      <w:r>
        <w:t>Cálculo y revisión de planilla</w:t>
      </w:r>
    </w:p>
    <w:p>
      <w:r>
        <w:t>Cálculo base y consolidación de haberes, descuentos y beneficios de ley para revisión del responsable contable. Se incluirán reportes y generación de archivos bancarios con el formato que se acuerde con MARKINT. Las reglas y los resultados se validarán con su equipo antes de utilizar el sistema en producción.</w:t>
      </w:r>
    </w:p>
    <w:p>
      <w:pPr>
        <w:pStyle w:val="Heading2"/>
      </w:pPr>
      <w:r>
        <w:t>Boletas y firma de recepción</w:t>
      </w:r>
    </w:p>
    <w:p>
      <w:r>
        <w:t>Carga y organización de boletas y documentos. El colaborador podrá firmar la recepción con un trazo en pantalla, desde un dispositivo táctil o con el mouse. La constancia quedará asociada al documento y al usuario, con fecha, hora e IP de acceso.</w:t>
      </w:r>
    </w:p>
    <w:p>
      <w:pPr>
        <w:pStyle w:val="Heading2"/>
      </w:pPr>
      <w:r>
        <w:t>Encuestas y clima laboral</w:t>
      </w:r>
    </w:p>
    <w:p>
      <w:r>
        <w:t>Creación de campañas dirigidas a las áreas o sedes correspondientes, consulta de resultados y seguimiento de planes de acción. Antes de publicar una encuesta se definirán los destinatarios y las reglas de confidencialidad de sus respuestas.</w:t>
      </w:r>
    </w:p>
    <w:p>
      <w:pPr>
        <w:pStyle w:val="Heading2"/>
      </w:pPr>
      <w:r>
        <w:t>Comunicación interna</w:t>
      </w:r>
    </w:p>
    <w:p>
      <w:r>
        <w:t>Publicación de avisos y comunicados para los destinatarios seleccionados, notificaciones dentro del sistema y por correo, y consulta de la cobertura de lectura.</w:t>
      </w:r>
    </w:p>
    <w:p>
      <w:pPr>
        <w:pStyle w:val="Heading2"/>
      </w:pPr>
      <w:r>
        <w:t>Quién tendrá acceso</w:t>
      </w:r>
    </w:p>
    <w:p>
      <w:r>
        <w:t>Se contemplan perfiles de Administrador, Recursos Humanos, Jefatura y Empleado. Los permisos concretos se acordarán por función: consultar información, registrar datos, revisar solicitudes o aprobar operaciones.</w:t>
      </w:r>
    </w:p>
    <w:p>
      <w:pPr>
        <w:pStyle w:val="Heading2"/>
      </w:pPr>
      <w:r>
        <w:t>Plazo de trabajo: seis semanas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fill="183347"/>
          </w:tcPr>
          <w:p>
            <w:pPr>
              <w:spacing w:after="100"/>
            </w:pPr>
            <w:r>
              <w:rPr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4933"/>
            <w:shd w:fill="183347"/>
          </w:tcPr>
          <w:p>
            <w:pPr>
              <w:spacing w:after="100"/>
            </w:pPr>
            <w:r>
              <w:rPr>
                <w:b/>
                <w:color w:val="FFFFFF"/>
                <w:sz w:val="18"/>
              </w:rPr>
              <w:t>Trabajo previsto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100"/>
            </w:pPr>
            <w:r>
              <w:rPr>
                <w:sz w:val="18"/>
              </w:rPr>
              <w:t>Semanas 1 y 2</w:t>
            </w:r>
          </w:p>
        </w:tc>
        <w:tc>
          <w:tcPr>
            <w:tcW w:type="dxa" w:w="4933"/>
          </w:tcPr>
          <w:p>
            <w:pPr>
              <w:spacing w:after="100"/>
            </w:pPr>
            <w:r>
              <w:rPr>
                <w:sz w:val="18"/>
              </w:rPr>
              <w:t>Revisión de requerimientos, diseño de datos y expediente de personal.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100"/>
            </w:pPr>
            <w:r>
              <w:rPr>
                <w:sz w:val="18"/>
              </w:rPr>
              <w:t>Semanas 3 y 4</w:t>
            </w:r>
          </w:p>
        </w:tc>
        <w:tc>
          <w:tcPr>
            <w:tcW w:type="dxa" w:w="4933"/>
          </w:tcPr>
          <w:p>
            <w:pPr>
              <w:spacing w:after="100"/>
            </w:pPr>
            <w:r>
              <w:rPr>
                <w:sz w:val="18"/>
              </w:rPr>
              <w:t>Asistencia, vacaciones, cálculo de planilla y reportes.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100"/>
            </w:pPr>
            <w:r>
              <w:rPr>
                <w:sz w:val="18"/>
              </w:rPr>
              <w:t>Semana 5</w:t>
            </w:r>
          </w:p>
        </w:tc>
        <w:tc>
          <w:tcPr>
            <w:tcW w:type="dxa" w:w="4933"/>
          </w:tcPr>
          <w:p>
            <w:pPr>
              <w:spacing w:after="100"/>
            </w:pPr>
            <w:r>
              <w:rPr>
                <w:sz w:val="18"/>
              </w:rPr>
              <w:t>Firma de recepción, encuestas, comunicación y pruebas de los flujos.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100"/>
            </w:pPr>
            <w:r>
              <w:rPr>
                <w:sz w:val="18"/>
              </w:rPr>
              <w:t>Semana 6</w:t>
            </w:r>
          </w:p>
        </w:tc>
        <w:tc>
          <w:tcPr>
            <w:tcW w:type="dxa" w:w="4933"/>
          </w:tcPr>
          <w:p>
            <w:pPr>
              <w:spacing w:after="100"/>
            </w:pPr>
            <w:r>
              <w:rPr>
                <w:sz w:val="18"/>
              </w:rPr>
              <w:t>Pruebas integrales, instalación en producción y capacitación.</w:t>
            </w:r>
          </w:p>
        </w:tc>
      </w:tr>
    </w:tbl>
    <w:p>
      <w:r>
        <w:br w:type="page"/>
      </w:r>
    </w:p>
    <w:p>
      <w:pPr>
        <w:pStyle w:val="Heading1"/>
      </w:pPr>
      <w:r>
        <w:t>Inversión y condiciones de entrega</w:t>
      </w:r>
    </w:p>
    <w:p>
      <w:pPr>
        <w:pStyle w:val="Heading2"/>
      </w:pPr>
      <w:r>
        <w:t>Precio del desarrollo</w:t>
      </w:r>
    </w:p>
    <w:p>
      <w:r>
        <w:rPr>
          <w:b/>
          <w:sz w:val="52"/>
        </w:rPr>
        <w:t>S/ 3,500.00 PEN</w:t>
      </w:r>
    </w:p>
    <w:p>
      <w:r>
        <w:t>Monto fijo por el alcance descrito, sin cobro por colaborador.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fill="183347"/>
          </w:tcPr>
          <w:p>
            <w:pPr>
              <w:spacing w:after="100"/>
            </w:pPr>
            <w:r>
              <w:rPr>
                <w:b/>
                <w:color w:val="FFFFFF"/>
                <w:sz w:val="18"/>
              </w:rPr>
              <w:t>Pago</w:t>
            </w:r>
          </w:p>
        </w:tc>
        <w:tc>
          <w:tcPr>
            <w:tcW w:type="dxa" w:w="3289"/>
            <w:shd w:fill="183347"/>
          </w:tcPr>
          <w:p>
            <w:pPr>
              <w:spacing w:after="100"/>
            </w:pPr>
            <w:r>
              <w:rPr>
                <w:b/>
                <w:color w:val="FFFFFF"/>
                <w:sz w:val="18"/>
              </w:rPr>
              <w:t>Importe</w:t>
            </w:r>
          </w:p>
        </w:tc>
        <w:tc>
          <w:tcPr>
            <w:tcW w:type="dxa" w:w="3289"/>
            <w:shd w:fill="183347"/>
          </w:tcPr>
          <w:p>
            <w:pPr>
              <w:spacing w:after="100"/>
            </w:pPr>
            <w:r>
              <w:rPr>
                <w:b/>
                <w:color w:val="FFFFFF"/>
                <w:sz w:val="18"/>
              </w:rPr>
              <w:t>Momento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100"/>
            </w:pPr>
            <w:r>
              <w:rPr>
                <w:sz w:val="18"/>
              </w:rPr>
              <w:t>40 %</w:t>
            </w:r>
          </w:p>
        </w:tc>
        <w:tc>
          <w:tcPr>
            <w:tcW w:type="dxa" w:w="3289"/>
          </w:tcPr>
          <w:p>
            <w:pPr>
              <w:spacing w:after="100"/>
            </w:pPr>
            <w:r>
              <w:rPr>
                <w:sz w:val="18"/>
              </w:rPr>
              <w:t>S/ 1,400.00</w:t>
            </w:r>
          </w:p>
        </w:tc>
        <w:tc>
          <w:tcPr>
            <w:tcW w:type="dxa" w:w="3289"/>
          </w:tcPr>
          <w:p>
            <w:pPr>
              <w:spacing w:after="100"/>
            </w:pPr>
            <w:r>
              <w:rPr>
                <w:sz w:val="18"/>
              </w:rPr>
              <w:t>Aceptación de la propuesta e inicio del proyecto.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100"/>
            </w:pPr>
            <w:r>
              <w:rPr>
                <w:sz w:val="18"/>
              </w:rPr>
              <w:t>30 %</w:t>
            </w:r>
          </w:p>
        </w:tc>
        <w:tc>
          <w:tcPr>
            <w:tcW w:type="dxa" w:w="3289"/>
          </w:tcPr>
          <w:p>
            <w:pPr>
              <w:spacing w:after="100"/>
            </w:pPr>
            <w:r>
              <w:rPr>
                <w:sz w:val="18"/>
              </w:rPr>
              <w:t>S/ 1,050.00</w:t>
            </w:r>
          </w:p>
        </w:tc>
        <w:tc>
          <w:tcPr>
            <w:tcW w:type="dxa" w:w="3289"/>
          </w:tcPr>
          <w:p>
            <w:pPr>
              <w:spacing w:after="100"/>
            </w:pPr>
            <w:r>
              <w:rPr>
                <w:sz w:val="18"/>
              </w:rPr>
              <w:t>Presentación funcional de Personal, Asistencias y Planilla.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100"/>
            </w:pPr>
            <w:r>
              <w:rPr>
                <w:sz w:val="18"/>
              </w:rPr>
              <w:t>30 %</w:t>
            </w:r>
          </w:p>
        </w:tc>
        <w:tc>
          <w:tcPr>
            <w:tcW w:type="dxa" w:w="3289"/>
          </w:tcPr>
          <w:p>
            <w:pPr>
              <w:spacing w:after="100"/>
            </w:pPr>
            <w:r>
              <w:rPr>
                <w:sz w:val="18"/>
              </w:rPr>
              <w:t>S/ 1,050.00</w:t>
            </w:r>
          </w:p>
        </w:tc>
        <w:tc>
          <w:tcPr>
            <w:tcW w:type="dxa" w:w="3289"/>
          </w:tcPr>
          <w:p>
            <w:pPr>
              <w:spacing w:after="100"/>
            </w:pPr>
            <w:r>
              <w:rPr>
                <w:sz w:val="18"/>
              </w:rPr>
              <w:t>Sistema instalado y probado, con la capacitación finalizada.</w:t>
            </w:r>
          </w:p>
        </w:tc>
      </w:tr>
    </w:tbl>
    <w:p>
      <w:pPr>
        <w:pStyle w:val="Heading2"/>
      </w:pPr>
      <w:r>
        <w:t>Qué entregamos</w:t>
      </w:r>
    </w:p>
    <w:p>
      <w:pPr>
        <w:pStyle w:val="ListBullet"/>
      </w:pPr>
      <w:r>
        <w:t>Plataforma web configurada y funcionando en el servidor de producción.</w:t>
      </w:r>
    </w:p>
    <w:p>
      <w:pPr>
        <w:pStyle w:val="ListBullet"/>
      </w:pPr>
      <w:r>
        <w:t>Código fuente documentado y scripts de base de datos.</w:t>
      </w:r>
    </w:p>
    <w:p>
      <w:pPr>
        <w:pStyle w:val="ListBullet"/>
      </w:pPr>
      <w:r>
        <w:t>Capacitación para el equipo administrador y los colaboradores.</w:t>
      </w:r>
    </w:p>
    <w:p>
      <w:pPr>
        <w:pStyle w:val="Heading2"/>
      </w:pPr>
      <w:r>
        <w:t>Alojamiento y alcance técnico</w:t>
      </w:r>
    </w:p>
    <w:p>
      <w:r>
        <w:t>MARKINT asumirá directamente el costo del VPS y la infraestructura cloud. La instalación del sistema en ese servidor forma parte del servicio. La plataforma se adaptará a computadoras, tabletas y teléfonos; no se incluye una aplicación móvil nativa ni conexión directa con relojes biométricos físicos.</w:t>
      </w:r>
    </w:p>
    <w:p>
      <w:pPr>
        <w:pStyle w:val="Heading2"/>
      </w:pPr>
      <w:r>
        <w:t>Inicio y validación del trabajo</w:t>
      </w:r>
    </w:p>
    <w:p>
      <w:r>
        <w:t>El plazo comienza con la aceptación, el pago inicial y la entrega de la información y los accesos necesarios. MARKINT designará a una persona para coordinar las revisiones y validar las reglas de cálculo, los flujos y los archivos bancarios. Si cambian los requerimientos o se retrasa la información, se revisará el efecto en el plazo antes de continuar con el trabajo afectado.</w:t>
      </w:r>
    </w:p>
    <w:p>
      <w:pPr>
        <w:pStyle w:val="Heading2"/>
      </w:pPr>
      <w:r>
        <w:t>Garantía</w:t>
      </w:r>
    </w:p>
    <w:p>
      <w:r>
        <w:t>Durante los 60 días calendario siguientes a la puesta en marcha corregiremos, sin costo adicional, las incidencias del desarrollo que correspondan al alcance contratado.</w:t>
      </w:r>
    </w:p>
    <w:p>
      <w:pPr>
        <w:pStyle w:val="Heading2"/>
      </w:pPr>
      <w:r>
        <w:t>Validez</w:t>
      </w:r>
    </w:p>
    <w:p>
      <w:r>
        <w:t>Esta propuesta tiene una validez de 15 días calendario desde su emisión, el 22 de octubre de 2026.</w:t>
      </w:r>
    </w:p>
    <w:p>
      <w:r>
        <w:t>Safe Zone Perú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22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36673"/>
        <w:sz w:val="16"/>
      </w:rPr>
      <w:t xml:space="preserve">Propuesta de desarrollo · 22 de octubre de 2026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36673"/>
        <w:sz w:val="16"/>
      </w:rPr>
      <w:t>SAFE ZONE PERÚ                                                       MARKINT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DejaVu Sans" w:hAnsi="DejaVu Sans"/>
      <w:color w:val="1833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18334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78B9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20"/>
      <w:contextualSpacing/>
    </w:pPr>
    <w:rPr>
      <w:rFonts w:asciiTheme="majorHAnsi" w:eastAsiaTheme="majorEastAsia" w:hAnsiTheme="majorHAnsi" w:cstheme="majorBidi" w:ascii="DejaVu Sans" w:hAnsi="DejaVu Sans"/>
      <w:color w:val="1833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MARKINT — Propuesta de desarrollo de Recursos Humanos</dc:title>
  <dc:subject/>
  <dc:creator>Safe Zone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