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Especificación y prompts para el sistema de restaurante</w:t>
      </w:r>
    </w:p>
    <w:p>
      <w:r>
        <w:t>Guía de implementación para Codex • Versión 1 • 9 de septiembre de 2026</w:t>
      </w:r>
    </w:p>
    <w:p>
      <w:r>
        <w:t>Este documento define el sistema que se desarrollará y contiene los prompts preparados para dirigir a Codex por etapas. Se adopta C# con ASP.NET Core, Vue con TypeScript, PostgreSQL y Arquitectura Limpia. Backend y frontend tendrán repositorios públicos separados.</w:t>
      </w:r>
    </w:p>
    <w:p>
      <w:r>
        <w:t>El entregable actual es una especificación. La aplicación, los repositorios remotos, las pruebas y el ZIP ejecutable todavía no se han creado. Los prompts de implementación están propuestos, no ejecutados. Su ejecución y las correcciones posteriores deberán registrarse con evidencia para elaborar el informe final.</w:t>
      </w:r>
    </w:p>
    <w:p>
      <w:pPr>
        <w:pStyle w:val="Heading1"/>
      </w:pPr>
      <w:r>
        <w:t>1 Cómo utilizar este documento</w:t>
      </w:r>
    </w:p>
    <w:p>
      <w:r>
        <w:t>Primero entrega a Codex este documento completo como referencia. Ejecuta P00 en cada repositorio y después utiliza los prompts en el orden indicado. Cada bloque titulado Texto para Codex es un mensaje que puedes copiar. Los textos situados fuera de esos bloques explican su propósito y cómo documentarlos.</w:t>
      </w:r>
    </w:p>
    <w:p>
      <w:r>
        <w:t>Mantén los repositorios como carpetas hermanas: restaurante-backend y restaurante-frontend. Para tareas de integración abre el directorio padre con acceso a ambos. Si Codex solo puede ver uno, proporciona los contratos exportados y la versión del otro repositorio. Nunca debe adivinar el contrato de la API.</w:t>
      </w:r>
    </w:p>
    <w:p>
      <w:r>
        <w:t>Los prompts P01 a P12 son etapas de trabajo. P13 es una plantilla reutilizable para errores. P14 permite incorporar cambios de alcance. No es posible anticipar literalmente todos los mensajes futuros; por eso se exige una bitácora acumulativa que guarde también las correcciones, aclaraciones y mensajes de continuación.</w:t>
      </w:r>
    </w:p>
    <w:p>
      <w:pPr>
        <w:pStyle w:val="Heading1"/>
      </w:pPr>
      <w:r>
        <w:t>2 Alcance funcional y supuestos</w:t>
      </w:r>
    </w:p>
    <w:p>
      <w:r>
        <w:t>Se construirá un sistema web para un restaurante y una sede. Tendrá mesero, cocina, cajero y administrador. El administrador configura usuarios, platillos y mesas; no existe registro público de usuarios. Interfaz en español, importes en quetzales y fechas persistidas en UTC, mostradas en America/Guatemala.</w:t>
      </w:r>
    </w:p>
    <w:p>
      <w:r>
        <w:t>Cada ocupación de una mesa abre una cuenta independiente. Una cuenta contiene varios pedidos; cada pedido contiene líneas con cantidad, platillo, precio histórico e instrucciones propias. Dos unidades del mismo platillo con instrucciones distintas deben ser líneas separadas. El mapa debe permitir localizar la mesa físicamente.</w:t>
      </w:r>
    </w:p>
    <w:p>
      <w:r>
        <w:t>El cobro registra efectivo o tarjeta de manera manual; no procesa tarjetas ni almacena sus números. Se permite pago parcial y combinación de métodos. El alcance académico excluye pasarela bancaria, factura fiscal, inventario, reservas, reparto, propinas, descuentos y división de cuentas. Los precios son finales; no se añade impuesto por separado.</w:t>
      </w:r>
    </w:p>
    <w:p>
      <w:pPr>
        <w:pStyle w:val="Heading1"/>
      </w:pPr>
      <w:r>
        <w:t>3 Stack y decisiones arquitectónicas</w:t>
      </w:r>
    </w:p>
    <w:tbl>
      <w:tblPr>
        <w:tblW w:type="auto" w:w="0"/>
        <w:tblLayout w:type="fixed"/>
        <w:tblLook w:firstColumn="1" w:firstRow="1" w:lastColumn="0" w:lastRow="0" w:noHBand="0" w:noVBand="1" w:val="04A0"/>
      </w:tblPr>
      <w:tblGrid>
        <w:gridCol w:w="4968"/>
        <w:gridCol w:w="4968"/>
      </w:tblGrid>
      <w:tr>
        <w:trPr>
          <w:tblHeader/>
          <w:cantSplit/>
        </w:trPr>
        <w:tc>
          <w:tcPr>
            <w:tcW w:type="dxa" w:w="4968"/>
            <w:tcBorders>
              <w:top w:val="single" w:sz="4" w:color="D9D9D9"/>
              <w:left w:val="single" w:sz="4" w:color="D9D9D9"/>
              <w:bottom w:val="single" w:sz="4" w:color="D9D9D9"/>
              <w:right w:val="single" w:sz="4" w:color="D9D9D9"/>
            </w:tcBorders>
            <w:shd w:fill="E8EDF2"/>
          </w:tcPr>
          <w:p>
            <w:r>
              <w:rPr>
                <w:b/>
                <w:sz w:val="20"/>
              </w:rPr>
              <w:t>Componente</w:t>
            </w:r>
          </w:p>
        </w:tc>
        <w:tc>
          <w:tcPr>
            <w:tcW w:type="dxa" w:w="4968"/>
            <w:tcBorders>
              <w:top w:val="single" w:sz="4" w:color="D9D9D9"/>
              <w:left w:val="single" w:sz="4" w:color="D9D9D9"/>
              <w:bottom w:val="single" w:sz="4" w:color="D9D9D9"/>
              <w:right w:val="single" w:sz="4" w:color="D9D9D9"/>
            </w:tcBorders>
            <w:shd w:fill="E8EDF2"/>
          </w:tcPr>
          <w:p>
            <w:r>
              <w:rPr>
                <w:b/>
                <w:sz w:val="20"/>
              </w:rPr>
              <w:t>Decisión y propósito</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Backend</w:t>
            </w:r>
          </w:p>
        </w:tc>
        <w:tc>
          <w:tcPr>
            <w:tcW w:type="dxa" w:w="4968"/>
            <w:tcBorders>
              <w:top w:val="single" w:sz="4" w:color="D9D9D9"/>
              <w:left w:val="single" w:sz="4" w:color="D9D9D9"/>
              <w:bottom w:val="single" w:sz="4" w:color="D9D9D9"/>
              <w:right w:val="single" w:sz="4" w:color="D9D9D9"/>
            </w:tcBorders>
          </w:tcPr>
          <w:p>
            <w:r>
              <w:rPr>
                <w:b w:val="0"/>
                <w:sz w:val="20"/>
              </w:rPr>
              <w:t>C# y ASP.NET Core sobre .NET 10 LTS; API REST y SignalR para eventos.</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Persistencia</w:t>
            </w:r>
          </w:p>
        </w:tc>
        <w:tc>
          <w:tcPr>
            <w:tcW w:type="dxa" w:w="4968"/>
            <w:tcBorders>
              <w:top w:val="single" w:sz="4" w:color="D9D9D9"/>
              <w:left w:val="single" w:sz="4" w:color="D9D9D9"/>
              <w:bottom w:val="single" w:sz="4" w:color="D9D9D9"/>
              <w:right w:val="single" w:sz="4" w:color="D9D9D9"/>
            </w:tcBorders>
          </w:tcPr>
          <w:p>
            <w:r>
              <w:rPr>
                <w:b w:val="0"/>
                <w:sz w:val="20"/>
              </w:rPr>
              <w:t>PostgreSQL 18; EF Core y proveedor Npgsql compatibles con la versión elegida.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Frontend</w:t>
            </w:r>
          </w:p>
        </w:tc>
        <w:tc>
          <w:tcPr>
            <w:tcW w:type="dxa" w:w="4968"/>
            <w:tcBorders>
              <w:top w:val="single" w:sz="4" w:color="D9D9D9"/>
              <w:left w:val="single" w:sz="4" w:color="D9D9D9"/>
              <w:bottom w:val="single" w:sz="4" w:color="D9D9D9"/>
              <w:right w:val="single" w:sz="4" w:color="D9D9D9"/>
            </w:tcBorders>
          </w:tcPr>
          <w:p>
            <w:r>
              <w:rPr>
                <w:b w:val="0"/>
                <w:sz w:val="20"/>
              </w:rPr>
              <w:t>Vue 3, TypeScript, Vite, Vue Router y Pinia; cliente oficial de SignalR.</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Seguridad</w:t>
            </w:r>
          </w:p>
        </w:tc>
        <w:tc>
          <w:tcPr>
            <w:tcW w:type="dxa" w:w="4968"/>
            <w:tcBorders>
              <w:top w:val="single" w:sz="4" w:color="D9D9D9"/>
              <w:left w:val="single" w:sz="4" w:color="D9D9D9"/>
              <w:bottom w:val="single" w:sz="4" w:color="D9D9D9"/>
              <w:right w:val="single" w:sz="4" w:color="D9D9D9"/>
            </w:tcBorders>
          </w:tcPr>
          <w:p>
            <w:r>
              <w:rPr>
                <w:b w:val="0"/>
                <w:sz w:val="20"/>
              </w:rPr>
              <w:t>ASP.NET Core Identity para usuarios y contraseñas; JWT corto en memoria del frontend, sin refresh token en el MVP.</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Pruebas</w:t>
            </w:r>
          </w:p>
        </w:tc>
        <w:tc>
          <w:tcPr>
            <w:tcW w:type="dxa" w:w="4968"/>
            <w:tcBorders>
              <w:top w:val="single" w:sz="4" w:color="D9D9D9"/>
              <w:left w:val="single" w:sz="4" w:color="D9D9D9"/>
              <w:bottom w:val="single" w:sz="4" w:color="D9D9D9"/>
              <w:right w:val="single" w:sz="4" w:color="D9D9D9"/>
            </w:tcBorders>
          </w:tcPr>
          <w:p>
            <w:r>
              <w:rPr>
                <w:b w:val="0"/>
                <w:sz w:val="20"/>
              </w:rPr>
              <w:t>xUnit; integración con PostgreSQL real en contenedor; Vitest y Playwright para flujos de interfaz.</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Distribución</w:t>
            </w:r>
          </w:p>
        </w:tc>
        <w:tc>
          <w:tcPr>
            <w:tcW w:type="dxa" w:w="4968"/>
            <w:tcBorders>
              <w:top w:val="single" w:sz="4" w:color="D9D9D9"/>
              <w:left w:val="single" w:sz="4" w:color="D9D9D9"/>
              <w:bottom w:val="single" w:sz="4" w:color="D9D9D9"/>
              <w:right w:val="single" w:sz="4" w:color="D9D9D9"/>
            </w:tcBorders>
          </w:tcPr>
          <w:p>
            <w:r>
              <w:rPr>
                <w:b w:val="0"/>
                <w:sz w:val="20"/>
              </w:rPr>
              <w:t>Docker Compose para PostgreSQL, API y frontend compilado servido por Nginx; archivos de bloqueo y versiones fijadas.</w:t>
            </w:r>
          </w:p>
        </w:tc>
      </w:tr>
    </w:tbl>
    <w:p/>
    <w:p>
      <w:r>
        <w:t>La política oficial de Microsoft identifica .NET 10 como LTS y PostgreSQL mantiene la rama 18 con soporte. Se fijarán versiones exactas compatibles al implementar, con el parche soportado en ese momento. Node puede utilizarse como herramienta de compilación de Vue; el servidor de negocio será ASP.NET Core y no se utilizará Express. Si la prohibición docente abarcara también herramientas de compilación, debe aclararse esa interpretación.</w:t>
      </w:r>
    </w:p>
    <w:p>
      <w:r>
        <w:t>Fuentes: https://dotnet.microsoft.com/en-us/platform/support/policy/dotnet-core y https://www.postgresql.org/support/versioning/</w:t>
      </w:r>
    </w:p>
    <w:p>
      <w:pPr>
        <w:pStyle w:val="Heading2"/>
      </w:pPr>
      <w:r>
        <w:t>Arquitectura lógica y despliegue</w:t>
      </w:r>
    </w:p>
    <w:p>
      <w:r>
        <w:t>El sistema tendrá presentación web, aplicación de negocio y base de datos como componentes separados. Dentro del backend se aplicará Arquitectura Limpia mediante cuatro proyectos: Domain, Application, Infrastructure y Api. Domain contiene reglas; Application coordina casos de uso; Infrastructure implementa persistencia; Api expone HTTP, autenticación y SignalR.</w:t>
      </w:r>
    </w:p>
    <w:p>
      <w:r>
        <w:t>Referencias de compilación: Application → Domain; Infrastructure → Application y Domain; Api → Application e Infrastructure únicamente para componer dependencias. Domain no referencia ASP.NET, EF Core ni los demás proyectos. Los controladores usan casos de uso, sin consultas directas al DbContext. Program.cs solo configura servicios y middleware mediante métodos de extensión.</w:t>
      </w:r>
    </w:p>
    <w:p>
      <w:r>
        <w:t>Una API desplegada como una unidad sigue siendo un backend monolítico modular, aunque use Arquitectura Limpia. Tener dos repositorios tampoco lo convierte en microservicios. Interpretamos la consigna literal como prohibición del cliente-servidor simple y del monolito desorganizado; proponemos separación física de componentes y separación lógica verificable. Si el docente prohíbe cualquier monolito, esta propuesta requiere revisar el despliegue antes de programar. No se debe afirmar que la arquitectura elegida deja de usar comunicación cliente-servidor.</w:t>
      </w:r>
    </w:p>
    <w:p>
      <w:r>
        <w:t>Fundamento: https://learn.microsoft.com/en-us/dotnet/architecture/modern-web-apps-azure/common-web-application-architectures</w:t>
      </w:r>
    </w:p>
    <w:p>
      <w:pPr>
        <w:pStyle w:val="Heading2"/>
      </w:pPr>
      <w:r>
        <w:t>Clasificación empresarial propuesta</w:t>
      </w:r>
    </w:p>
    <w:p>
      <w:r>
        <w:t>Clasificamos la aplicación principalmente como TPS, sistema de procesamiento de transacciones, porque registra pedidos, cambios operativos y cobros con integridad y trazabilidad. Funcionalmente combina un punto de venta POS y una pantalla de cocina KDS. Los resúmenes de ventas apoyan la operación; no justifican presentarla como ERP, CRM o sistema de BI completo. Esta clasificación debe cotejarse con la nomenclatura vista en clase, que no fue proporcionada.</w:t>
      </w:r>
    </w:p>
    <w:p>
      <w:pPr>
        <w:pStyle w:val="Heading1"/>
      </w:pPr>
      <w:r>
        <w:t>4 Reglas de negocio y permisos</w:t>
      </w:r>
    </w:p>
    <w:tbl>
      <w:tblPr>
        <w:tblW w:type="auto" w:w="0"/>
        <w:tblLayout w:type="fixed"/>
        <w:tblLook w:firstColumn="1" w:firstRow="1" w:lastColumn="0" w:lastRow="0" w:noHBand="0" w:noVBand="1" w:val="04A0"/>
      </w:tblPr>
      <w:tblGrid>
        <w:gridCol w:w="4968"/>
        <w:gridCol w:w="4968"/>
      </w:tblGrid>
      <w:tr>
        <w:trPr>
          <w:tblHeader/>
          <w:cantSplit/>
        </w:trPr>
        <w:tc>
          <w:tcPr>
            <w:tcW w:type="dxa" w:w="4968"/>
            <w:tcBorders>
              <w:top w:val="single" w:sz="4" w:color="D9D9D9"/>
              <w:left w:val="single" w:sz="4" w:color="D9D9D9"/>
              <w:bottom w:val="single" w:sz="4" w:color="D9D9D9"/>
              <w:right w:val="single" w:sz="4" w:color="D9D9D9"/>
            </w:tcBorders>
            <w:shd w:fill="E8EDF2"/>
          </w:tcPr>
          <w:p>
            <w:r>
              <w:rPr>
                <w:b/>
                <w:sz w:val="20"/>
              </w:rPr>
              <w:t>Rol</w:t>
            </w:r>
          </w:p>
        </w:tc>
        <w:tc>
          <w:tcPr>
            <w:tcW w:type="dxa" w:w="4968"/>
            <w:tcBorders>
              <w:top w:val="single" w:sz="4" w:color="D9D9D9"/>
              <w:left w:val="single" w:sz="4" w:color="D9D9D9"/>
              <w:bottom w:val="single" w:sz="4" w:color="D9D9D9"/>
              <w:right w:val="single" w:sz="4" w:color="D9D9D9"/>
            </w:tcBorders>
            <w:shd w:fill="E8EDF2"/>
          </w:tcPr>
          <w:p>
            <w:r>
              <w:rPr>
                <w:b/>
                <w:sz w:val="20"/>
              </w:rPr>
              <w:t>Acciones permitidas</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Mesero</w:t>
            </w:r>
          </w:p>
        </w:tc>
        <w:tc>
          <w:tcPr>
            <w:tcW w:type="dxa" w:w="4968"/>
            <w:tcBorders>
              <w:top w:val="single" w:sz="4" w:color="D9D9D9"/>
              <w:left w:val="single" w:sz="4" w:color="D9D9D9"/>
              <w:bottom w:val="single" w:sz="4" w:color="D9D9D9"/>
              <w:right w:val="single" w:sz="4" w:color="D9D9D9"/>
            </w:tcBorders>
          </w:tcPr>
          <w:p>
            <w:r>
              <w:rPr>
                <w:b w:val="0"/>
                <w:sz w:val="20"/>
              </w:rPr>
              <w:t>Consultar mapa; abrir y gestionar sus cuentas; enviar pedidos; ver avisos propios; marcar entrega.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Cocina</w:t>
            </w:r>
          </w:p>
        </w:tc>
        <w:tc>
          <w:tcPr>
            <w:tcW w:type="dxa" w:w="4968"/>
            <w:tcBorders>
              <w:top w:val="single" w:sz="4" w:color="D9D9D9"/>
              <w:left w:val="single" w:sz="4" w:color="D9D9D9"/>
              <w:bottom w:val="single" w:sz="4" w:color="D9D9D9"/>
              <w:right w:val="single" w:sz="4" w:color="D9D9D9"/>
            </w:tcBorders>
          </w:tcPr>
          <w:p>
            <w:r>
              <w:rPr>
                <w:b w:val="0"/>
                <w:sz w:val="20"/>
              </w:rPr>
              <w:t>Consultar pedidos e instrucciones; pasar a preparación y listo. No cobrar ni administrar usuarios.</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Cajero</w:t>
            </w:r>
          </w:p>
        </w:tc>
        <w:tc>
          <w:tcPr>
            <w:tcW w:type="dxa" w:w="4968"/>
            <w:tcBorders>
              <w:top w:val="single" w:sz="4" w:color="D9D9D9"/>
              <w:left w:val="single" w:sz="4" w:color="D9D9D9"/>
              <w:bottom w:val="single" w:sz="4" w:color="D9D9D9"/>
              <w:right w:val="single" w:sz="4" w:color="D9D9D9"/>
            </w:tcBorders>
          </w:tcPr>
          <w:p>
            <w:r>
              <w:rPr>
                <w:b w:val="0"/>
                <w:sz w:val="20"/>
              </w:rPr>
              <w:t>Consultar cuentas; registrar cobros; cerrar y liberar mesas cuando se cumplan las reglas.</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Administrador</w:t>
            </w:r>
          </w:p>
        </w:tc>
        <w:tc>
          <w:tcPr>
            <w:tcW w:type="dxa" w:w="4968"/>
            <w:tcBorders>
              <w:top w:val="single" w:sz="4" w:color="D9D9D9"/>
              <w:left w:val="single" w:sz="4" w:color="D9D9D9"/>
              <w:bottom w:val="single" w:sz="4" w:color="D9D9D9"/>
              <w:right w:val="single" w:sz="4" w:color="D9D9D9"/>
            </w:tcBorders>
          </w:tcPr>
          <w:p>
            <w:r>
              <w:rPr>
                <w:b w:val="0"/>
                <w:sz w:val="20"/>
              </w:rPr>
              <w:t>Gestionar catálogos y usuarios; reasignar cuentas; realizar acciones operativas autorizadas con auditoría.</w:t>
            </w:r>
          </w:p>
        </w:tc>
      </w:tr>
    </w:tbl>
    <w:p/>
    <w:p>
      <w:r>
        <w:t>R01. Mesa: libre u ocupada según la existencia de una cuenta abierta. Un índice único parcial impide dos cuentas abiertas en la misma mesa. La disponibilidad se obtiene del servidor y no de un cambio visual local.</w:t>
      </w:r>
    </w:p>
    <w:p>
      <w:r>
        <w:t>R02. Cuenta: abierta → cerrada. Abrirla ocupa la mesa. Cerrar requiere saldo cero y todos los pedidos entregados o cancelados. Para una cuenta vacía se permite cierre sin pago. No existe botón que libere una mesa saltándose estas condiciones.</w:t>
      </w:r>
    </w:p>
    <w:p>
      <w:r>
        <w:t>R03. Pedido: pendiente → en preparación → listo → entregado. Cocina controla preparación y listo; mesero responsable controla entregado. Se permite cancelar únicamente un pedido pendiente, sin pagos registrados en su cuenta, por mesero responsable o administrador, con motivo. No se borran transacciones históricas. En el MVP, listo corresponde al pedido completo.</w:t>
      </w:r>
    </w:p>
    <w:p>
      <w:r>
        <w:t>R04. Cada línea acepta cantidad entera entre 1 y 99 e instrucciones de hasta 500 caracteres. Conservar texto libre, mostrarlo íntegro y escapado en cocina y mesero. Un indicador manual de alergia resalta la línea sin sustituir su texto; no usar IA ni palabras clave para decidir si existe una alergia.</w:t>
      </w:r>
    </w:p>
    <w:p>
      <w:r>
        <w:t>R05. El servidor consulta el precio vigente al crear la línea y conserva nombre y precio como instantánea histórica. Nunca acepta el total o precio enviados por el cliente como autoridad. Usar decimal y numeric(12,2); no float para dinero.</w:t>
      </w:r>
    </w:p>
    <w:p>
      <w:r>
        <w:t>R06. Antes de cobrar, todos los pedidos deben estar entregados o cancelados. Desde el primer pago, la cuenta queda bloqueada para nuevos pedidos y cancelaciones. Pago parcial mantiene la mesa ocupada. Al completar el total se registra el pago, cierra la cuenta y libera la mesa en una sola transacción. Una solicitud de cierre separada solo sirve para cuenta vacía o de total cero.</w:t>
      </w:r>
    </w:p>
    <w:p>
      <w:r>
        <w:t>R07. Importe aplicado positivo y no mayor al saldo. En efectivo, registrar recibido y calcular vuelto = recibido − importe aplicado; el recibido debe cubrir el importe aplicado. En tarjeta, registrar únicamente importe y referencia opcional del comprobante externo. No implementar devoluciones en este MVP.</w:t>
      </w:r>
    </w:p>
    <w:p>
      <w:r>
        <w:t>R08. Abrir cuenta, crear pedido y registrar pago reciben Idempotency-Key. La misma clave y contenido devuelven el resultado anterior; la misma clave con contenido distinto produce conflicto. Bloquear la cuenta dentro de la transacción en toda operación que cambie pedidos, pagos o cierre; recalcular saldo tras obtener el bloqueo. El índice y las transacciones protegen también peticiones concurrentes.</w:t>
      </w:r>
    </w:p>
    <w:p>
      <w:r>
        <w:t>R09. Validar identidad, rol y propiedad en el servidor tanto en REST como en SignalR. La reasignación de cuenta por administrador cambia su responsable, actualiza permisos y genera aviso para el nuevo mesero. Nunca permitir elegir libremente un grupo SignalR desde el navegador.</w:t>
      </w:r>
    </w:p>
    <w:p>
      <w:pPr>
        <w:pStyle w:val="Heading1"/>
      </w:pPr>
      <w:r>
        <w:t>5 Datos y contratos de integración</w:t>
      </w:r>
    </w:p>
    <w:tbl>
      <w:tblPr>
        <w:tblW w:type="auto" w:w="0"/>
        <w:tblLayout w:type="fixed"/>
        <w:tblLook w:firstColumn="1" w:firstRow="1" w:lastColumn="0" w:lastRow="0" w:noHBand="0" w:noVBand="1" w:val="04A0"/>
      </w:tblPr>
      <w:tblGrid>
        <w:gridCol w:w="4968"/>
        <w:gridCol w:w="4968"/>
      </w:tblGrid>
      <w:tr>
        <w:trPr>
          <w:tblHeader/>
          <w:cantSplit/>
        </w:trPr>
        <w:tc>
          <w:tcPr>
            <w:tcW w:type="dxa" w:w="4968"/>
            <w:tcBorders>
              <w:top w:val="single" w:sz="4" w:color="D9D9D9"/>
              <w:left w:val="single" w:sz="4" w:color="D9D9D9"/>
              <w:bottom w:val="single" w:sz="4" w:color="D9D9D9"/>
              <w:right w:val="single" w:sz="4" w:color="D9D9D9"/>
            </w:tcBorders>
            <w:shd w:fill="E8EDF2"/>
          </w:tcPr>
          <w:p>
            <w:r>
              <w:rPr>
                <w:b/>
                <w:sz w:val="20"/>
              </w:rPr>
              <w:t>Entidad</w:t>
            </w:r>
          </w:p>
        </w:tc>
        <w:tc>
          <w:tcPr>
            <w:tcW w:type="dxa" w:w="4968"/>
            <w:tcBorders>
              <w:top w:val="single" w:sz="4" w:color="D9D9D9"/>
              <w:left w:val="single" w:sz="4" w:color="D9D9D9"/>
              <w:bottom w:val="single" w:sz="4" w:color="D9D9D9"/>
              <w:right w:val="single" w:sz="4" w:color="D9D9D9"/>
            </w:tcBorders>
            <w:shd w:fill="E8EDF2"/>
          </w:tcPr>
          <w:p>
            <w:r>
              <w:rPr>
                <w:b/>
                <w:sz w:val="20"/>
              </w:rPr>
              <w:t>Datos mínimos</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RestaurantTable</w:t>
            </w:r>
          </w:p>
        </w:tc>
        <w:tc>
          <w:tcPr>
            <w:tcW w:type="dxa" w:w="4968"/>
            <w:tcBorders>
              <w:top w:val="single" w:sz="4" w:color="D9D9D9"/>
              <w:left w:val="single" w:sz="4" w:color="D9D9D9"/>
              <w:bottom w:val="single" w:sz="4" w:color="D9D9D9"/>
              <w:right w:val="single" w:sz="4" w:color="D9D9D9"/>
            </w:tcBorders>
          </w:tcPr>
          <w:p>
            <w:r>
              <w:rPr>
                <w:b w:val="0"/>
                <w:sz w:val="20"/>
              </w:rPr>
              <w:t>Id, código único, zona, capacidad, posición X/Y normalizada, forma, activa.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DiningSession</w:t>
            </w:r>
          </w:p>
        </w:tc>
        <w:tc>
          <w:tcPr>
            <w:tcW w:type="dxa" w:w="4968"/>
            <w:tcBorders>
              <w:top w:val="single" w:sz="4" w:color="D9D9D9"/>
              <w:left w:val="single" w:sz="4" w:color="D9D9D9"/>
              <w:bottom w:val="single" w:sz="4" w:color="D9D9D9"/>
              <w:right w:val="single" w:sz="4" w:color="D9D9D9"/>
            </w:tcBorders>
          </w:tcPr>
          <w:p>
            <w:r>
              <w:rPr>
                <w:b w:val="0"/>
                <w:sz w:val="20"/>
              </w:rPr>
              <w:t>Id, mesa, mesero responsable, estado, apertura, cierre, versión de concurrencia.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MenuItem</w:t>
            </w:r>
          </w:p>
        </w:tc>
        <w:tc>
          <w:tcPr>
            <w:tcW w:type="dxa" w:w="4968"/>
            <w:tcBorders>
              <w:top w:val="single" w:sz="4" w:color="D9D9D9"/>
              <w:left w:val="single" w:sz="4" w:color="D9D9D9"/>
              <w:bottom w:val="single" w:sz="4" w:color="D9D9D9"/>
              <w:right w:val="single" w:sz="4" w:color="D9D9D9"/>
            </w:tcBorders>
          </w:tcPr>
          <w:p>
            <w:r>
              <w:rPr>
                <w:b w:val="0"/>
                <w:sz w:val="20"/>
              </w:rPr>
              <w:t>Id, nombre, categoría, precio decimal, disponible.</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Order</w:t>
            </w:r>
          </w:p>
        </w:tc>
        <w:tc>
          <w:tcPr>
            <w:tcW w:type="dxa" w:w="4968"/>
            <w:tcBorders>
              <w:top w:val="single" w:sz="4" w:color="D9D9D9"/>
              <w:left w:val="single" w:sz="4" w:color="D9D9D9"/>
              <w:bottom w:val="single" w:sz="4" w:color="D9D9D9"/>
              <w:right w:val="single" w:sz="4" w:color="D9D9D9"/>
            </w:tcBorders>
          </w:tcPr>
          <w:p>
            <w:r>
              <w:rPr>
                <w:b w:val="0"/>
                <w:sz w:val="20"/>
              </w:rPr>
              <w:t>Id, cuenta, estado, autor, fechas y versión de concurrencia.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OrderItem</w:t>
            </w:r>
          </w:p>
        </w:tc>
        <w:tc>
          <w:tcPr>
            <w:tcW w:type="dxa" w:w="4968"/>
            <w:tcBorders>
              <w:top w:val="single" w:sz="4" w:color="D9D9D9"/>
              <w:left w:val="single" w:sz="4" w:color="D9D9D9"/>
              <w:bottom w:val="single" w:sz="4" w:color="D9D9D9"/>
              <w:right w:val="single" w:sz="4" w:color="D9D9D9"/>
            </w:tcBorders>
          </w:tcPr>
          <w:p>
            <w:r>
              <w:rPr>
                <w:b w:val="0"/>
                <w:sz w:val="20"/>
              </w:rPr>
              <w:t>Id, pedido, platillo, nombre histórico, cantidad, precio histórico, instrucciones, alerta de alergia.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Payment</w:t>
            </w:r>
          </w:p>
        </w:tc>
        <w:tc>
          <w:tcPr>
            <w:tcW w:type="dxa" w:w="4968"/>
            <w:tcBorders>
              <w:top w:val="single" w:sz="4" w:color="D9D9D9"/>
              <w:left w:val="single" w:sz="4" w:color="D9D9D9"/>
              <w:bottom w:val="single" w:sz="4" w:color="D9D9D9"/>
              <w:right w:val="single" w:sz="4" w:color="D9D9D9"/>
            </w:tcBorders>
          </w:tcPr>
          <w:p>
            <w:r>
              <w:rPr>
                <w:b w:val="0"/>
                <w:sz w:val="20"/>
              </w:rPr>
              <w:t>Id, cuenta, método, importe aplicado, recibido/vuelto si efectivo, referencia, cajero, fecha.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Notification</w:t>
            </w:r>
          </w:p>
        </w:tc>
        <w:tc>
          <w:tcPr>
            <w:tcW w:type="dxa" w:w="4968"/>
            <w:tcBorders>
              <w:top w:val="single" w:sz="4" w:color="D9D9D9"/>
              <w:left w:val="single" w:sz="4" w:color="D9D9D9"/>
              <w:bottom w:val="single" w:sz="4" w:color="D9D9D9"/>
              <w:right w:val="single" w:sz="4" w:color="D9D9D9"/>
            </w:tcBorders>
          </w:tcPr>
          <w:p>
            <w:r>
              <w:rPr>
                <w:b w:val="0"/>
                <w:sz w:val="20"/>
              </w:rPr>
              <w:t>Id, destinatario, tipo, pedido/cuenta, texto, fecha y lectura.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OutboxMessage</w:t>
            </w:r>
          </w:p>
        </w:tc>
        <w:tc>
          <w:tcPr>
            <w:tcW w:type="dxa" w:w="4968"/>
            <w:tcBorders>
              <w:top w:val="single" w:sz="4" w:color="D9D9D9"/>
              <w:left w:val="single" w:sz="4" w:color="D9D9D9"/>
              <w:bottom w:val="single" w:sz="4" w:color="D9D9D9"/>
              <w:right w:val="single" w:sz="4" w:color="D9D9D9"/>
            </w:tcBorders>
          </w:tcPr>
          <w:p>
            <w:r>
              <w:rPr>
                <w:b w:val="0"/>
                <w:sz w:val="20"/>
              </w:rPr>
              <w:t>Id de evento, tipo, payload, fecha, intentos, próximo intento y procesamiento.</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AuditEntry</w:t>
            </w:r>
          </w:p>
        </w:tc>
        <w:tc>
          <w:tcPr>
            <w:tcW w:type="dxa" w:w="4968"/>
            <w:tcBorders>
              <w:top w:val="single" w:sz="4" w:color="D9D9D9"/>
              <w:left w:val="single" w:sz="4" w:color="D9D9D9"/>
              <w:bottom w:val="single" w:sz="4" w:color="D9D9D9"/>
              <w:right w:val="single" w:sz="4" w:color="D9D9D9"/>
            </w:tcBorders>
          </w:tcPr>
          <w:p>
            <w:r>
              <w:rPr>
                <w:b w:val="0"/>
                <w:sz w:val="20"/>
              </w:rPr>
              <w:t>Actor, operación, entidad, fecha, resultado e identificador de correlación.</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IdempotencyRecord</w:t>
            </w:r>
          </w:p>
        </w:tc>
        <w:tc>
          <w:tcPr>
            <w:tcW w:type="dxa" w:w="4968"/>
            <w:tcBorders>
              <w:top w:val="single" w:sz="4" w:color="D9D9D9"/>
              <w:left w:val="single" w:sz="4" w:color="D9D9D9"/>
              <w:bottom w:val="single" w:sz="4" w:color="D9D9D9"/>
              <w:right w:val="single" w:sz="4" w:color="D9D9D9"/>
            </w:tcBorders>
          </w:tcPr>
          <w:p>
            <w:r>
              <w:rPr>
                <w:b w:val="0"/>
                <w:sz w:val="20"/>
              </w:rPr>
              <w:t>Actor, operación, clave, hash del cuerpo, estado y resultado. Restricción única por ámbito.</w:t>
            </w:r>
          </w:p>
        </w:tc>
      </w:tr>
    </w:tbl>
    <w:p/>
    <w:p>
      <w:r>
        <w:t>Añadir las tablas de Identity y relaciones con claves foráneas, índices y restricciones. No eliminar mesas, usuarios o platillos referenciados: desactivar. El diccionario final debe detallar tipos, nulabilidad, claves, índices y propósito. Las migraciones EF Core serán la fuente del esquema; el SQL de entrega se generará de ellas.</w:t>
      </w:r>
    </w:p>
    <w:p>
      <w:pPr>
        <w:pStyle w:val="Heading2"/>
      </w:pPr>
      <w:r>
        <w:t>Contrato REST inicial</w:t>
      </w:r>
    </w:p>
    <w:p>
      <w:r>
        <w:t>Prefijo /api/v1. Auth: POST /auth/login y GET /auth/me. Usuarios: GET /users, POST /users y PUT /users/{id}, solo administrador; incluir rol y activación, sin devolver contraseñas ni hashes. Mesas: GET /tables; administración mediante POST y PUT. Catálogo: GET /menu-items y administración. Cuentas: POST /sessions, GET /sessions/{id}, GET /sessions?status=open, PATCH /sessions/{id}/waiter y POST /sessions/{id}/close. Pedidos: POST /sessions/{id}/orders, GET /orders con filtros, POST /orders/{id}/start, /ready, /deliver y /cancel. Cobros: POST /sessions/{id}/payments y GET /sessions/{id}/payments. Avisos: GET /notifications y POST /notifications/{id}/read.</w:t>
      </w:r>
    </w:p>
    <w:p>
      <w:r>
        <w:t>Documentar JSON de entrada y salida, permiso, validaciones, códigos 400/401/403/404/409 y ejemplos en OpenAPI. Las respuestas no exponen entidades EF. Paginación en históricos. Las acciones concurrentes obsoletas devuelven 409 con información para recargar. Versionar el contrato y mantener una copia en ambos repositorios con commit de origen.</w:t>
      </w:r>
    </w:p>
    <w:p>
      <w:pPr>
        <w:pStyle w:val="Heading2"/>
      </w:pPr>
      <w:r>
        <w:t>Tiempo real recuperable</w:t>
      </w:r>
    </w:p>
    <w:p>
      <w:r>
        <w:t>Hub autenticado en /hubs/restaurant. Eventos: OrderCreated, OrderStatusChanged, NotificationCreated y TableStatusChanged. Envelope común: eventId, type, occurredAtUtc, aggregateId, version y data. Incluir mesa, cuenta y pedido donde corresponda. Los destinatarios se calculan por rol y cuenta; los avisos personales se envían al usuario autorizado.</w:t>
      </w:r>
    </w:p>
    <w:p>
      <w:r>
        <w:t>Guardar cambio de negocio, notificación y evento outbox en la misma transacción. Un proceso de fondo publica eventos ya confirmados y reintenta errores con espera creciente. La entrega puede repetirse: el frontend deduplica por eventId y recarga el estado autorizado. Conectar y suscribirse antes de cargar la instantánea inicial; procesar eventos concurrentes mediante versiones o nueva consulta. Tras reconectar, recuperar pedidos, mapa y notificaciones no leídas por REST. SignalR no reemplaza la persistencia.</w:t>
      </w:r>
    </w:p>
    <w:p>
      <w:r>
        <w:t>Referencia sobre SignalR: https://learn.microsoft.com/en-us/aspnet/core/signalr/introduction?view=aspnetcore-10.0</w:t>
      </w:r>
    </w:p>
    <w:p>
      <w:pPr>
        <w:pStyle w:val="Heading1"/>
      </w:pPr>
      <w:r>
        <w:t>6 Organización y dependencias inyectadas</w:t>
      </w:r>
    </w:p>
    <w:p>
      <w:r>
        <w:t>restaurante-backend: src/Restaurante.Domain, src/Restaurante.Application, src/Restaurante.Infrastructure, src/Restaurante.Api, tests, docs, database, scripts, deploy, README.md y AGENTS.md. Agrupar casos de uso por Mesas, Pedidos, Cocina, Cobros y Usuarios dentro de sus capas.</w:t>
      </w:r>
    </w:p>
    <w:p>
      <w:r>
        <w:t>restaurante-frontend: src/app, src/modules/auth, tables, orders, kitchen, payments y notifications; src/shared/api, realtime y ui; tests, docs, README.md y AGENTS.md. Separar componentes, vistas, composables, servicios y stores. Evitar una sola vista que concentre toda la aplicación.</w:t>
      </w:r>
    </w:p>
    <w:tbl>
      <w:tblPr>
        <w:tblW w:type="auto" w:w="0"/>
        <w:tblLayout w:type="fixed"/>
        <w:tblLook w:firstColumn="1" w:firstRow="1" w:lastColumn="0" w:lastRow="0" w:noHBand="0" w:noVBand="1" w:val="04A0"/>
      </w:tblPr>
      <w:tblGrid>
        <w:gridCol w:w="4968"/>
        <w:gridCol w:w="4968"/>
      </w:tblGrid>
      <w:tr>
        <w:trPr>
          <w:tblHeader/>
          <w:cantSplit/>
        </w:trPr>
        <w:tc>
          <w:tcPr>
            <w:tcW w:type="dxa" w:w="4968"/>
            <w:tcBorders>
              <w:top w:val="single" w:sz="4" w:color="D9D9D9"/>
              <w:left w:val="single" w:sz="4" w:color="D9D9D9"/>
              <w:bottom w:val="single" w:sz="4" w:color="D9D9D9"/>
              <w:right w:val="single" w:sz="4" w:color="D9D9D9"/>
            </w:tcBorders>
            <w:shd w:fill="E8EDF2"/>
          </w:tcPr>
          <w:p>
            <w:r>
              <w:rPr>
                <w:b/>
                <w:sz w:val="20"/>
              </w:rPr>
              <w:t>Abstracción</w:t>
            </w:r>
          </w:p>
        </w:tc>
        <w:tc>
          <w:tcPr>
            <w:tcW w:type="dxa" w:w="4968"/>
            <w:tcBorders>
              <w:top w:val="single" w:sz="4" w:color="D9D9D9"/>
              <w:left w:val="single" w:sz="4" w:color="D9D9D9"/>
              <w:bottom w:val="single" w:sz="4" w:color="D9D9D9"/>
              <w:right w:val="single" w:sz="4" w:color="D9D9D9"/>
            </w:tcBorders>
            <w:shd w:fill="E8EDF2"/>
          </w:tcPr>
          <w:p>
            <w:r>
              <w:rPr>
                <w:b/>
                <w:sz w:val="20"/>
              </w:rPr>
              <w:t>Implementación y ciclo de vida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ISessionRepository e IOrderRepository</w:t>
            </w:r>
          </w:p>
        </w:tc>
        <w:tc>
          <w:tcPr>
            <w:tcW w:type="dxa" w:w="4968"/>
            <w:tcBorders>
              <w:top w:val="single" w:sz="4" w:color="D9D9D9"/>
              <w:left w:val="single" w:sz="4" w:color="D9D9D9"/>
              <w:bottom w:val="single" w:sz="4" w:color="D9D9D9"/>
              <w:right w:val="single" w:sz="4" w:color="D9D9D9"/>
            </w:tcBorders>
          </w:tcPr>
          <w:p>
            <w:r>
              <w:rPr>
                <w:b w:val="0"/>
                <w:sz w:val="20"/>
              </w:rPr>
              <w:t>EF Core en Infrastructure; scoped y DbContext compartido por solicitud.</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IPaymentRepository e IUnitOfWork</w:t>
            </w:r>
          </w:p>
        </w:tc>
        <w:tc>
          <w:tcPr>
            <w:tcW w:type="dxa" w:w="4968"/>
            <w:tcBorders>
              <w:top w:val="single" w:sz="4" w:color="D9D9D9"/>
              <w:left w:val="single" w:sz="4" w:color="D9D9D9"/>
              <w:bottom w:val="single" w:sz="4" w:color="D9D9D9"/>
              <w:right w:val="single" w:sz="4" w:color="D9D9D9"/>
            </w:tcBorders>
          </w:tcPr>
          <w:p>
            <w:r>
              <w:rPr>
                <w:b w:val="0"/>
                <w:sz w:val="20"/>
              </w:rPr>
              <w:t>Infrastructure; scoped. Unidad de trabajo controla transacción y bloqueo; repositorios no confirman por separado.</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ICurrentUser</w:t>
            </w:r>
          </w:p>
        </w:tc>
        <w:tc>
          <w:tcPr>
            <w:tcW w:type="dxa" w:w="4968"/>
            <w:tcBorders>
              <w:top w:val="single" w:sz="4" w:color="D9D9D9"/>
              <w:left w:val="single" w:sz="4" w:color="D9D9D9"/>
              <w:bottom w:val="single" w:sz="4" w:color="D9D9D9"/>
              <w:right w:val="single" w:sz="4" w:color="D9D9D9"/>
            </w:tcBorders>
          </w:tcPr>
          <w:p>
            <w:r>
              <w:rPr>
                <w:b w:val="0"/>
                <w:sz w:val="20"/>
              </w:rPr>
              <w:t>Adaptador de claims en Api; scoped. No se inyecta en procesos de fondo.</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INotificationStore e IOutboxWriter</w:t>
            </w:r>
          </w:p>
        </w:tc>
        <w:tc>
          <w:tcPr>
            <w:tcW w:type="dxa" w:w="4968"/>
            <w:tcBorders>
              <w:top w:val="single" w:sz="4" w:color="D9D9D9"/>
              <w:left w:val="single" w:sz="4" w:color="D9D9D9"/>
              <w:bottom w:val="single" w:sz="4" w:color="D9D9D9"/>
              <w:right w:val="single" w:sz="4" w:color="D9D9D9"/>
            </w:tcBorders>
          </w:tcPr>
          <w:p>
            <w:r>
              <w:rPr>
                <w:b w:val="0"/>
                <w:sz w:val="20"/>
              </w:rPr>
              <w:t>Infrastructure; scoped y misma transacción de negocio.</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IRealtimePublisher</w:t>
            </w:r>
          </w:p>
        </w:tc>
        <w:tc>
          <w:tcPr>
            <w:tcW w:type="dxa" w:w="4968"/>
            <w:tcBorders>
              <w:top w:val="single" w:sz="4" w:color="D9D9D9"/>
              <w:left w:val="single" w:sz="4" w:color="D9D9D9"/>
              <w:bottom w:val="single" w:sz="4" w:color="D9D9D9"/>
              <w:right w:val="single" w:sz="4" w:color="D9D9D9"/>
            </w:tcBorders>
          </w:tcPr>
          <w:p>
            <w:r>
              <w:rPr>
                <w:b w:val="0"/>
                <w:sz w:val="20"/>
              </w:rPr>
              <w:t>Adaptador SignalR en Api; scoped, resuelto por el dispatcher dentro de un scope.</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TimeProvider</w:t>
            </w:r>
          </w:p>
        </w:tc>
        <w:tc>
          <w:tcPr>
            <w:tcW w:type="dxa" w:w="4968"/>
            <w:tcBorders>
              <w:top w:val="single" w:sz="4" w:color="D9D9D9"/>
              <w:left w:val="single" w:sz="4" w:color="D9D9D9"/>
              <w:bottom w:val="single" w:sz="4" w:color="D9D9D9"/>
              <w:right w:val="single" w:sz="4" w:color="D9D9D9"/>
            </w:tcBorders>
          </w:tcPr>
          <w:p>
            <w:r>
              <w:rPr>
                <w:b w:val="0"/>
                <w:sz w:val="20"/>
              </w:rPr>
              <w:t>Reloj del sistema registrado singleton; sustituible en pruebas.</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Casos de uso</w:t>
            </w:r>
          </w:p>
        </w:tc>
        <w:tc>
          <w:tcPr>
            <w:tcW w:type="dxa" w:w="4968"/>
            <w:tcBorders>
              <w:top w:val="single" w:sz="4" w:color="D9D9D9"/>
              <w:left w:val="single" w:sz="4" w:color="D9D9D9"/>
              <w:bottom w:val="single" w:sz="4" w:color="D9D9D9"/>
              <w:right w:val="single" w:sz="4" w:color="D9D9D9"/>
            </w:tcBorders>
          </w:tcPr>
          <w:p>
            <w:r>
              <w:rPr>
                <w:b w:val="0"/>
                <w:sz w:val="20"/>
              </w:rPr>
              <w:t>Application; scoped e inyección por constructor.</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OutboxDispatcher</w:t>
            </w:r>
          </w:p>
        </w:tc>
        <w:tc>
          <w:tcPr>
            <w:tcW w:type="dxa" w:w="4968"/>
            <w:tcBorders>
              <w:top w:val="single" w:sz="4" w:color="D9D9D9"/>
              <w:left w:val="single" w:sz="4" w:color="D9D9D9"/>
              <w:bottom w:val="single" w:sz="4" w:color="D9D9D9"/>
              <w:right w:val="single" w:sz="4" w:color="D9D9D9"/>
            </w:tcBorders>
          </w:tcPr>
          <w:p>
            <w:r>
              <w:rPr>
                <w:b w:val="0"/>
                <w:sz w:val="20"/>
              </w:rPr>
              <w:t>Hosted service singleton; crea un scope por lote para resolver DbContext y publicador.</w:t>
            </w:r>
          </w:p>
        </w:tc>
      </w:tr>
    </w:tbl>
    <w:p/>
    <w:p>
      <w:r>
        <w:t>Registrar dependencias en AddApplication, AddInfrastructure y composición de Api. No usar service locator en casos de uso ni capturar un servicio scoped desde un singleton. No crear interfaces sin utilidad: introducirlas en límites externos o responsabilidades que se necesite sustituir. La autenticación utiliza los servicios de Identity sin implementar algoritmos de contraseñas propios.</w:t>
      </w:r>
    </w:p>
    <w:p>
      <w:pPr>
        <w:pStyle w:val="Heading2"/>
      </w:pPr>
      <w:r>
        <w:t>Prácticas de código limpio a demostrar</w:t>
      </w:r>
    </w:p>
    <w:p>
      <w:r>
        <w:t>Aplicar nombres que expresen intención; responsabilidad única; reglas encapsuladas en entidades; casos de uso pequeños; DTO independientes; validaciones comunes sin duplicación; constantes o enums para estados; métodos asincrónicos con CancellationToken; errores consistentes con ProblemDetails y registros estructurados sin credenciales. Mantener formato con .editorconfig, ESLint y Prettier.</w:t>
      </w:r>
    </w:p>
    <w:p>
      <w:r>
        <w:t>Para la entrega no escribir “se utilizó SOLID” sin evidencia. Documentar por práctica un archivo, símbolo, razón de diseño, prueba asociada y commit. Por ejemplo, el caso RegistrarPago depende de IPaymentRepository y no de Npgsql; una prueba debe comprobar que el segundo cobro no excede el saldo.</w:t>
      </w:r>
    </w:p>
    <w:p>
      <w:pPr>
        <w:pStyle w:val="Heading1"/>
      </w:pPr>
      <w:r>
        <w:t>7 Documentación requerida al finalizar</w:t>
      </w:r>
    </w:p>
    <w:p>
      <w:r>
        <w:t>README de cada repositorio con propósito, requisitos y arranque; arquitectura y decisiones ADR; requisitos trazables; diagrama de componentes y ER; diccionario de datos; OpenAPI; catálogo de eventos; manual por rol con capturas reales; guía de desarrollo y despliegue; catálogo de inyección con ciclos de vida; evidencias de código limpio; plan y resultados de pruebas; limitaciones; bitácora de IA y enlaces públicos. El informe académico debe explicar el sistema completo y enlazar ambos repositorios y sus versiones.</w:t>
      </w:r>
    </w:p>
    <w:p>
      <w:pPr>
        <w:pStyle w:val="Heading1"/>
      </w:pPr>
      <w:r>
        <w:t>8 Registro verificable de ingeniería de prompts</w:t>
      </w:r>
    </w:p>
    <w:p>
      <w:r>
        <w:t>El enlace del aula no pudo consultarse durante esta preparación. Las técnicas nombradas aquí describen los prompts propuestos y no se presentan como una transcripción del material del curso. Para ajustar la terminología exacta, incorporar después el contenido de esa actividad.</w:t>
      </w:r>
    </w:p>
    <w:tbl>
      <w:tblPr>
        <w:tblW w:type="auto" w:w="0"/>
        <w:tblLayout w:type="fixed"/>
        <w:tblLook w:firstColumn="1" w:firstRow="1" w:lastColumn="0" w:lastRow="0" w:noHBand="0" w:noVBand="1" w:val="04A0"/>
      </w:tblPr>
      <w:tblGrid>
        <w:gridCol w:w="4968"/>
        <w:gridCol w:w="4968"/>
      </w:tblGrid>
      <w:tr>
        <w:trPr>
          <w:tblHeader/>
          <w:cantSplit/>
        </w:trPr>
        <w:tc>
          <w:tcPr>
            <w:tcW w:type="dxa" w:w="4968"/>
            <w:tcBorders>
              <w:top w:val="single" w:sz="4" w:color="D9D9D9"/>
              <w:left w:val="single" w:sz="4" w:color="D9D9D9"/>
              <w:bottom w:val="single" w:sz="4" w:color="D9D9D9"/>
              <w:right w:val="single" w:sz="4" w:color="D9D9D9"/>
            </w:tcBorders>
            <w:shd w:fill="E8EDF2"/>
          </w:tcPr>
          <w:p>
            <w:r>
              <w:rPr>
                <w:b/>
                <w:sz w:val="20"/>
              </w:rPr>
              <w:t>Concepto</w:t>
            </w:r>
          </w:p>
        </w:tc>
        <w:tc>
          <w:tcPr>
            <w:tcW w:type="dxa" w:w="4968"/>
            <w:tcBorders>
              <w:top w:val="single" w:sz="4" w:color="D9D9D9"/>
              <w:left w:val="single" w:sz="4" w:color="D9D9D9"/>
              <w:bottom w:val="single" w:sz="4" w:color="D9D9D9"/>
              <w:right w:val="single" w:sz="4" w:color="D9D9D9"/>
            </w:tcBorders>
            <w:shd w:fill="E8EDF2"/>
          </w:tcPr>
          <w:p>
            <w:r>
              <w:rPr>
                <w:b/>
                <w:sz w:val="20"/>
              </w:rPr>
              <w:t>Aplicación concreta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Asignación de rol</w:t>
            </w:r>
          </w:p>
        </w:tc>
        <w:tc>
          <w:tcPr>
            <w:tcW w:type="dxa" w:w="4968"/>
            <w:tcBorders>
              <w:top w:val="single" w:sz="4" w:color="D9D9D9"/>
              <w:left w:val="single" w:sz="4" w:color="D9D9D9"/>
              <w:bottom w:val="single" w:sz="4" w:color="D9D9D9"/>
              <w:right w:val="single" w:sz="4" w:color="D9D9D9"/>
            </w:tcBorders>
          </w:tcPr>
          <w:p>
            <w:r>
              <w:rPr>
                <w:b w:val="0"/>
                <w:sz w:val="20"/>
              </w:rPr>
              <w:t>P00 define a Codex como desarrollador responsable de arquitectura y trazabilidad.</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Contexto y restricciones</w:t>
            </w:r>
          </w:p>
        </w:tc>
        <w:tc>
          <w:tcPr>
            <w:tcW w:type="dxa" w:w="4968"/>
            <w:tcBorders>
              <w:top w:val="single" w:sz="4" w:color="D9D9D9"/>
              <w:left w:val="single" w:sz="4" w:color="D9D9D9"/>
              <w:bottom w:val="single" w:sz="4" w:color="D9D9D9"/>
              <w:right w:val="single" w:sz="4" w:color="D9D9D9"/>
            </w:tcBorders>
          </w:tcPr>
          <w:p>
            <w:r>
              <w:rPr>
                <w:b w:val="0"/>
                <w:sz w:val="20"/>
              </w:rPr>
              <w:t>Documento adjunto, stack fijo, reglas R01 a R09 y estructura de repositorios.</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Descomposición y encadenamiento</w:t>
            </w:r>
          </w:p>
        </w:tc>
        <w:tc>
          <w:tcPr>
            <w:tcW w:type="dxa" w:w="4968"/>
            <w:tcBorders>
              <w:top w:val="single" w:sz="4" w:color="D9D9D9"/>
              <w:left w:val="single" w:sz="4" w:color="D9D9D9"/>
              <w:bottom w:val="single" w:sz="4" w:color="D9D9D9"/>
              <w:right w:val="single" w:sz="4" w:color="D9D9D9"/>
            </w:tcBorders>
          </w:tcPr>
          <w:p>
            <w:r>
              <w:rPr>
                <w:b w:val="0"/>
                <w:sz w:val="20"/>
              </w:rPr>
              <w:t>Etapas P01 a P12; los contratos y decisiones de una etapa alimentan la siguiente.</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Salida estructurada</w:t>
            </w:r>
          </w:p>
        </w:tc>
        <w:tc>
          <w:tcPr>
            <w:tcW w:type="dxa" w:w="4968"/>
            <w:tcBorders>
              <w:top w:val="single" w:sz="4" w:color="D9D9D9"/>
              <w:left w:val="single" w:sz="4" w:color="D9D9D9"/>
              <w:bottom w:val="single" w:sz="4" w:color="D9D9D9"/>
              <w:right w:val="single" w:sz="4" w:color="D9D9D9"/>
            </w:tcBorders>
          </w:tcPr>
          <w:p>
            <w:r>
              <w:rPr>
                <w:b w:val="0"/>
                <w:sz w:val="20"/>
              </w:rPr>
              <w:t>Se exigen archivos, pruebas, estado, evidencia y registro de cada ejecución.</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Ejemplos y few shot</w:t>
            </w:r>
          </w:p>
        </w:tc>
        <w:tc>
          <w:tcPr>
            <w:tcW w:type="dxa" w:w="4968"/>
            <w:tcBorders>
              <w:top w:val="single" w:sz="4" w:color="D9D9D9"/>
              <w:left w:val="single" w:sz="4" w:color="D9D9D9"/>
              <w:bottom w:val="single" w:sz="4" w:color="D9D9D9"/>
              <w:right w:val="single" w:sz="4" w:color="D9D9D9"/>
            </w:tcBorders>
          </w:tcPr>
          <w:p>
            <w:r>
              <w:rPr>
                <w:b w:val="0"/>
                <w:sz w:val="20"/>
              </w:rPr>
              <w:t>P05 incluye dos ejemplos de instrucciones por línea; P06 dos ejemplos de pagos.</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Criterios de aceptación</w:t>
            </w:r>
          </w:p>
        </w:tc>
        <w:tc>
          <w:tcPr>
            <w:tcW w:type="dxa" w:w="4968"/>
            <w:tcBorders>
              <w:top w:val="single" w:sz="4" w:color="D9D9D9"/>
              <w:left w:val="single" w:sz="4" w:color="D9D9D9"/>
              <w:bottom w:val="single" w:sz="4" w:color="D9D9D9"/>
              <w:right w:val="single" w:sz="4" w:color="D9D9D9"/>
            </w:tcBorders>
          </w:tcPr>
          <w:p>
            <w:r>
              <w:rPr>
                <w:b w:val="0"/>
                <w:sz w:val="20"/>
              </w:rPr>
              <w:t>P11 verifica recorridos y condiciones de concurrencia observables.</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Refinamiento iterativo</w:t>
            </w:r>
          </w:p>
        </w:tc>
        <w:tc>
          <w:tcPr>
            <w:tcW w:type="dxa" w:w="4968"/>
            <w:tcBorders>
              <w:top w:val="single" w:sz="4" w:color="D9D9D9"/>
              <w:left w:val="single" w:sz="4" w:color="D9D9D9"/>
              <w:bottom w:val="single" w:sz="4" w:color="D9D9D9"/>
              <w:right w:val="single" w:sz="4" w:color="D9D9D9"/>
            </w:tcBorders>
          </w:tcPr>
          <w:p>
            <w:r>
              <w:rPr>
                <w:b w:val="0"/>
                <w:sz w:val="20"/>
              </w:rPr>
              <w:t>P13 incorpora errores reales y registra cada corrección como entrada nueva.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Revisión con evidencia</w:t>
            </w:r>
          </w:p>
        </w:tc>
        <w:tc>
          <w:tcPr>
            <w:tcW w:type="dxa" w:w="4968"/>
            <w:tcBorders>
              <w:top w:val="single" w:sz="4" w:color="D9D9D9"/>
              <w:left w:val="single" w:sz="4" w:color="D9D9D9"/>
              <w:bottom w:val="single" w:sz="4" w:color="D9D9D9"/>
              <w:right w:val="single" w:sz="4" w:color="D9D9D9"/>
            </w:tcBorders>
          </w:tcPr>
          <w:p>
            <w:r>
              <w:rPr>
                <w:b w:val="0"/>
                <w:sz w:val="20"/>
              </w:rPr>
              <w:t>P10 y P11 solicitan hallazgos comprobables y comandos ejecutados, sin inventar resultados.</w:t>
            </w:r>
          </w:p>
        </w:tc>
      </w:tr>
    </w:tbl>
    <w:p/>
    <w:p>
      <w:r>
        <w:t>No se afirma haber utilizado fine tuning, RAG, múltiples agentes o técnicas no presentes. Pedir una explicación breve de decisiones no implica solicitar ni documentar razonamiento interno de la IA.</w:t>
      </w:r>
    </w:p>
    <w:p>
      <w:pPr>
        <w:pStyle w:val="Heading2"/>
      </w:pPr>
      <w:r>
        <w:t>Formato obligatorio por ejecución</w:t>
      </w:r>
    </w:p>
    <w:p>
      <w:r>
        <w:t>Guardar docs/ai-prompts/INDEX.md y una entrada Markdown por mensaje. Campos: ID de ejecución único, ID del prompt de origen, estado, fecha y zona horaria, autor humano, herramienta, modelo si se muestra —si no, no disponible—, repositorio, rama, commit previo, prompt literal completo, adjuntos y versiones, técnicas y explicación, respuesta o ruta a transcripción, archivos afectados, comandos y resultados reales, revisión humana, pendientes y commit de implementación.</w:t>
      </w:r>
    </w:p>
    <w:p>
      <w:r>
        <w:t>Estados: propuesto, ejecutado, validado o rechazado. Ejecutado significa enviado y atendido; validado requiere evidencia de revisión o pruebas. Un resultado bloqueado sigue registrado. No reescribir mensajes anteriores: una corrección recibe otro ID y referencia a su antecedente. Registrar también “continúa”, aclaraciones y solicitudes hechas fuera del catálogo.</w:t>
      </w:r>
    </w:p>
    <w:p>
      <w:r>
        <w:t>Para evitar la referencia circular de un commit que contiene su propio hash, registrar primero la ejecución y los cambios; después añadir el hash del commit de implementación en un commit documental. En trabajos entre repositorios registrar ambos hashes. Mantener el índice general en backend y registros locales en cada repositorio, sin sobrescribir historiales independientes.</w:t>
      </w:r>
    </w:p>
    <w:p>
      <w:r>
        <w:t>El mensaje del usuario que originó esta guía cuenta como uso real de IA. Antes de entregar la bitácora, copiarlo literalmente de esta conversación como ORIG-001, junto con esta respuesta/documento, herramienta ChatGPT y fecha real. No usar un resumen como sustituto del prompt original. El modelo de esta conversación no se consigna si no está visible. Los mensajes internos de herramientas no se presentan como prompts escritos por el estudiante.</w:t>
      </w:r>
    </w:p>
    <w:p>
      <w:pPr>
        <w:pStyle w:val="Heading2"/>
      </w:pPr>
      <w:r>
        <w:t>Control de honestidad académica</w:t>
      </w:r>
    </w:p>
    <w:p>
      <w:r>
        <w:t>Cada prompt del catálogo conserva su estado propuesto hasta que se utilice. Codex no puede reconstruir conversaciones que no ve; el responsable debe exportarlas o aportarlas. Si un mensaje contiene secretos, conservar la evidencia en un lugar privado y publicar una copia con redacciones explícitas, sin credenciales. Documentar qué generó la IA y qué revisó o modificó el equipo.</w:t>
      </w:r>
    </w:p>
    <w:p>
      <w:pPr>
        <w:pStyle w:val="Heading1"/>
      </w:pPr>
      <w:r>
        <w:t>9 Catálogo de prompts para Codex</w:t>
      </w:r>
    </w:p>
    <w:p>
      <w:r>
        <w:t>Instrucción común: en P01 a P14 rige P00. Adjunta este documento y los archivos indicados, o colócalos en el contexto accesible antes de enviar cada mensaje. El texto de cada bloque es el prompt preparado; los valores entre corchetes de P13 y P14 deben sustituirse antes de ejecutarlo.</w:t>
      </w:r>
    </w:p>
    <w:p>
      <w:pPr>
        <w:pStyle w:val="Heading2"/>
      </w:pPr>
      <w:r>
        <w:t>P00 Instrucciones permanentes</w:t>
      </w:r>
    </w:p>
    <w:p>
      <w:r>
        <w:t>Estado: propuesto. Ambos repositorios, al comenzar cada contexto. Técnica: rol, contexto, restricciones y formato de salida.</w:t>
      </w:r>
    </w:p>
    <w:p>
      <w:pPr>
        <w:pStyle w:val="Heading2"/>
      </w:pPr>
      <w:r>
        <w:t>Texto para Codex</w:t>
      </w:r>
    </w:p>
    <w:p>
      <w:r>
        <w:t>Actúa como desarrollador de este sistema académico de restaurante y aplica la especificación adjunta completa. Trabaja en el repositorio disponible, inspecciona sus instrucciones y conserva cambios ajenos. Usa C# ASP.NET Core, Vue 3 con TypeScript, PostgreSQL y Arquitectura Limpia, con backend y frontend en repositorios separados. No uses Express ni SQLite, tampoco en pruebas de integración. Node solo puede participar en las herramientas del frontend.</w:t>
      </w:r>
    </w:p>
    <w:p>
      <w:r>
        <w:t>Antes de implementar, guarda el texto literal de este mensaje en docs/ai-prompts y crea el índice si falta. Haz lo mismo con todos los mensajes posteriores, incluyendo correcciones y continuaciones. Registra contexto, adjuntos, modelo visible, fecha real, cambios, validaciones y resultado; no inventes pruebas ni prompts anteriores. Mantén la distinción entre propuesto, ejecutado y validado.</w:t>
      </w:r>
    </w:p>
    <w:p>
      <w:r>
        <w:t>Crea AGENTS.md con estas reglas y referencias a la especificación. El historial canónico de cada mensaje debe contener su texto completo, no solo su ID. Si no tienes el documento o un contrato necesario, identifica el archivo faltante. Realiza autónomamente las decisiones menores compatibles con el alcance y documenta los supuestos; no amplíes funcionalidades sin una decisión explícita.</w:t>
      </w:r>
    </w:p>
    <w:p>
      <w:r>
        <w:t>Al terminar cada etapa informa qué implementaste, archivos relevantes, comandos ejecutados y sus resultados, limitaciones y siguiente dependencia. No publiques secretos. No afirmes que existen repositorios remotos, despliegues o un ZIP hasta haberlos creado y verificado. Implementa solo la etapa solicitada y deja la documentación consistente.</w:t>
      </w:r>
    </w:p>
    <w:p>
      <w:pPr>
        <w:pStyle w:val="Heading2"/>
      </w:pPr>
      <w:r>
        <w:t>P01 Decisiones y contrato base</w:t>
      </w:r>
    </w:p>
    <w:p>
      <w:r>
        <w:t>Estado: propuesto. Backend primero. Entrada: especificación completa. Técnicas: descomposición y salida estructurada.</w:t>
      </w:r>
    </w:p>
    <w:p>
      <w:pPr>
        <w:pStyle w:val="Heading2"/>
      </w:pPr>
      <w:r>
        <w:t>Texto para Codex</w:t>
      </w:r>
    </w:p>
    <w:p>
      <w:r>
        <w:t>Aplica P00. Prepara la base documental, sin implementar aún los módulos funcionales. Crea docs/specification.md con todos los requisitos y reglas de la especificación adjunta; docs/architecture.md; ADR del stack, arquitectura, autenticación, cobros y tiempo real; y docs/acceptance.md con IDs de criterios.</w:t>
      </w:r>
    </w:p>
    <w:p>
      <w:r>
        <w:t>Explica TPS como clasificación propuesta y distingue capas lógicas, componentes desplegables y backend monolítico modular. No llames microservicios a dos repositorios. Fija versiones exactas soportadas y compatibles comprobando fuentes oficiales y herramientas disponibles; documenta la función de Node como herramienta de Vue.</w:t>
      </w:r>
    </w:p>
    <w:p>
      <w:r>
        <w:t>Diseña el ER, diccionario de datos, matriz de permisos, estados y contrato REST OpenAPI con ejemplos. Define el envelope y los destinatarios de cada evento en docs/contracts/events.md. Resuelve cómo se bloquea una cuenta, cómo se valida el responsable y cómo se recupera una vista al reconectar. Incluye notificaciones persistidas y outbox. Mantén las decisiones del documento; si detectas contradicciones, descríbelas y propone la corrección mínima antes de depender de ella. Deja el contrato listo para copiar al frontend con versión y commit de origen.</w:t>
      </w:r>
    </w:p>
    <w:p>
      <w:pPr>
        <w:pStyle w:val="Heading2"/>
      </w:pPr>
      <w:r>
        <w:t>P02 Estructura del backend</w:t>
      </w:r>
    </w:p>
    <w:p>
      <w:r>
        <w:t>Estado: propuesto. Backend. Entrada: documentos P01. Técnicas: restricciones y resultado comprobable.</w:t>
      </w:r>
    </w:p>
    <w:p>
      <w:pPr>
        <w:pStyle w:val="Heading2"/>
      </w:pPr>
      <w:r>
        <w:t>Texto para Codex</w:t>
      </w:r>
    </w:p>
    <w:p>
      <w:r>
        <w:t>Aplica P00 y construye la solución del backend con Domain, Application, Infrastructure y Api como proyectos separados, más proyectos de pruebas. Respeta las referencias de compilación de la especificación. Organiza por casos de uso dentro de cada capa y limita Program.cs a composición mediante extensiones.</w:t>
      </w:r>
    </w:p>
    <w:p>
      <w:r>
        <w:t>Configura .editorconfig, tratamiento consistente de errores con ProblemDetails, registros estructurados, CancellationToken, OpenAPI y health checks sin datos sensibles. Crea AddApplication y AddInfrastructure y el catálogo inicial de servicios y ciclos de vida. Incluye global.json y fijación de dependencias compatibles. Crea pruebas de arquitectura que fallen si Domain o Application dependen de EF Core o ASP.NET, o si aparecen referencias prohibidas. Compila y ejecuta esas pruebas; registra los resultados y los bloqueos reales.</w:t>
      </w:r>
    </w:p>
    <w:p>
      <w:pPr>
        <w:pStyle w:val="Heading2"/>
      </w:pPr>
      <w:r>
        <w:t>P03 Persistencia y datos de demostración</w:t>
      </w:r>
    </w:p>
    <w:p>
      <w:r>
        <w:t>Estado: propuesto. Backend. Entrada: P01 y P02. Técnicas: contexto, restricciones y criterios.</w:t>
      </w:r>
    </w:p>
    <w:p>
      <w:pPr>
        <w:pStyle w:val="Heading2"/>
      </w:pPr>
      <w:r>
        <w:t>Texto para Codex</w:t>
      </w:r>
    </w:p>
    <w:p>
      <w:r>
        <w:t>Aplica P00. Implementa el modelo y persistencia PostgreSQL para mesas, sesiones de cuenta, platillos, pedidos, líneas, pagos, notificaciones, outbox, auditoría e idempotencia, junto con Identity. Pon las configuraciones EF y migraciones en Infrastructure; Domain debe conservar independencia de persistencia.</w:t>
      </w:r>
    </w:p>
    <w:p>
      <w:r>
        <w:t>Usa decimal/numeric para dinero, precios históricos, UTC, claves foráneas, índices de consulta y restricciones de unicidad. Impide dos cuentas abiertas por mesa mediante índice único parcial. Diseña un bloqueo transaccional común por cuenta para pedidos, cobros y cierre. Evita SaveChanges independientes que rompan una operación atómica.</w:t>
      </w:r>
    </w:p>
    <w:p>
      <w:r>
        <w:t>Genera migraciones y SQL reproducible derivado de ellas. Crea un seed idempotente de demostración con dos meseros, cocina, cajero y administrador, al menos ocho mesas con posiciones y diez platillos. Las contraseñas demo se proporcionan por configuración de desarrollo; no guardes secretos reales. Verifica migración, restricciones y seed repetido contra PostgreSQL real, nunca SQLite o EF InMemory como sustituto de integración.</w:t>
      </w:r>
    </w:p>
    <w:p>
      <w:pPr>
        <w:pStyle w:val="Heading2"/>
      </w:pPr>
      <w:r>
        <w:t>P04 Identidad y permisos</w:t>
      </w:r>
    </w:p>
    <w:p>
      <w:r>
        <w:t>Estado: propuesto. Backend. Entrada: persistencia y matriz de permisos. Técnica: criterios verificables.</w:t>
      </w:r>
    </w:p>
    <w:p>
      <w:pPr>
        <w:pStyle w:val="Heading2"/>
      </w:pPr>
      <w:r>
        <w:t>Texto para Codex</w:t>
      </w:r>
    </w:p>
    <w:p>
      <w:r>
        <w:t>Aplica P00. Implementa login y usuario actual con ASP.NET Core Identity y JWT de corta duración. El frontend guardará el token únicamente en memoria y volverá a login al expirar; el MVP no tiene refresh token. Configura validación completa de token, política de contraseña y limitación de intentos de login. Nunca construyas un algoritmo propio de hashing.</w:t>
      </w:r>
    </w:p>
    <w:p>
      <w:r>
        <w:t>Implementa autorización de mesero, cocina, cajero y administrador para cada endpoint y para SignalR. Comprueba propiedad de cuentas y notificaciones en el servidor. El hub determina grupos a partir de claims y permisos; no expongas un método para unirse a cualquier usuario o rol. Restringe extracción de token de query al endpoint del hub cuando lo requiera su transporte y evita registrarlo.</w:t>
      </w:r>
    </w:p>
    <w:p>
      <w:r>
        <w:t>Configura CORS para orígenes explícitos y documenta HTTPS fuera del desarrollo local. Añade pruebas para anónimo, rol incorrecto, mesero ajeno, token vencido y acceso a avisos de otro usuario. Completa OpenAPI y docs/security.md con el comportamiento real.</w:t>
      </w:r>
    </w:p>
    <w:p>
      <w:pPr>
        <w:pStyle w:val="Heading2"/>
      </w:pPr>
      <w:r>
        <w:t>P05 Mesas pedidos y cocina</w:t>
      </w:r>
    </w:p>
    <w:p>
      <w:r>
        <w:t>Estado: propuesto. Backend. Entrada: contratos y reglas R01 a R09. Técnicas: ejemplos few shot y descomposición.</w:t>
      </w:r>
    </w:p>
    <w:p>
      <w:pPr>
        <w:pStyle w:val="Heading2"/>
      </w:pPr>
      <w:r>
        <w:t>Texto para Codex</w:t>
      </w:r>
    </w:p>
    <w:p>
      <w:r>
        <w:t>Aplica P00. Implementa apertura y consulta de cuentas, mapa de mesas persistido, catálogo, creación de pedidos y transiciones de cocina y entrega. Usa casos de uso, DTO y reglas de dominio; los controladores no deben consultar DbContext directamente. Conserva precios y nombres históricos. Implementa idempotencia al abrir cuenta y enviar pedido, y conflictos de concurrencia.</w:t>
      </w:r>
    </w:p>
    <w:p>
      <w:r>
        <w:t>Ejemplo 1: mesa 3 solicita dos hamburguesas, una sin cebolla y otra normal. Guarda dos líneas para conservar las instrucciones propias. Ejemplo 2: mesa 5 solicita un platillo con el texto alergia a mariscos y alerta manual activada. Cocina debe recibir y mostrar ambos datos sin resumirlos ni interpretarlos automáticamente.</w:t>
      </w:r>
    </w:p>
    <w:p>
      <w:r>
        <w:t>Aplica las transiciones exactas: pendiente, en preparación, listo y entregado. Solo permite cancelación pendiente según R03. Persistir estado y eventos en la misma transacción. Rechaza nuevos pedidos si la cuenta tiene pagos o está cerrada. Prueba además cantidad inválida, precio manipulado, platillo no disponible, doble apertura y transición no permitida. Actualiza contratos y manuales con el comportamiento implementado.</w:t>
      </w:r>
    </w:p>
    <w:p>
      <w:pPr>
        <w:pStyle w:val="Heading2"/>
      </w:pPr>
      <w:r>
        <w:t>P06 Cobros y liberación de mesa</w:t>
      </w:r>
    </w:p>
    <w:p>
      <w:r>
        <w:t>Estado: propuesto. Backend. Entrada: P05 y reglas monetarias. Técnicas: few shot y criterios de aceptación.</w:t>
      </w:r>
    </w:p>
    <w:p>
      <w:pPr>
        <w:pStyle w:val="Heading2"/>
      </w:pPr>
      <w:r>
        <w:t>Texto para Codex</w:t>
      </w:r>
    </w:p>
    <w:p>
      <w:r>
        <w:t>Aplica P00. Implementa consulta de saldo y cobros manuales en efectivo o tarjeta, pagos parciales y cierre. Aplica R05 a R08 estrictamente. Calcula todo en el servidor, bloquea la cuenta antes de validar y exige pedidos entregados o cancelados. Cada solicitud usa Idempotency-Key; mismo contenido devuelve el pago previo y contenido distinto con la misma clave genera conflicto.</w:t>
      </w:r>
    </w:p>
    <w:p>
      <w:r>
        <w:t>Ejemplo 1: total Q125.00. Registrar Q50.00 deja saldo Q75.00 y mesa ocupada. Un pago aplicado de Q75.00 con Q100.00 recibidos genera Q25.00 de vuelto, cierra la cuenta y libera la mesa. Ejemplo 2: repetir la solicitud del segundo pago por un fallo de red devuelve el mismo resultado sin crear otro pago.</w:t>
      </w:r>
    </w:p>
    <w:p>
      <w:r>
        <w:t>Registra pago, cierre, disponibilidad resultante, auditoría y eventos outbox en una sola transacción. Si falla, no debe quedar una mesa libre con deuda. Prueba dos cajeros cobrando simultáneamente el saldo y una solicitud de pedido que compita con un pago. Bloquea nuevos pedidos desde el primer pago. Implementa cierre de cuenta vacía; una cuenta pagada se cierra automáticamente. No proceses tarjetas ni generes factura fiscal. Produce comprobante interno consultable con desglose, pagos y vuelto.</w:t>
      </w:r>
    </w:p>
    <w:p>
      <w:pPr>
        <w:pStyle w:val="Heading2"/>
      </w:pPr>
      <w:r>
        <w:t>P07 Eventos y recuperación</w:t>
      </w:r>
    </w:p>
    <w:p>
      <w:r>
        <w:t>Estado: propuesto. Backend. Entrada: P05 y P06. Técnicas: encadenamiento y validación.</w:t>
      </w:r>
    </w:p>
    <w:p>
      <w:pPr>
        <w:pStyle w:val="Heading2"/>
      </w:pPr>
      <w:r>
        <w:t>Texto para Codex</w:t>
      </w:r>
    </w:p>
    <w:p>
      <w:r>
        <w:t>Aplica P00. Completa el hub autenticado y el dispatcher de outbox para OrderCreated, OrderStatusChanged, NotificationCreated y TableStatusChanged. El dispatcher singleton debe crear scopes para los servicios scoped. Publica únicamente datos confirmados, reintenta fallos con espera creciente y conserva diagnóstico de mensajes que sigan fallando.</w:t>
      </w:r>
    </w:p>
    <w:p>
      <w:r>
        <w:t>Entrega los nuevos pedidos a cocina, cambios operativos a usuarios autorizados y avisos de listo al mesero responsable. Persiste los avisos no leídos. Maneja reasignación de cuenta sin conceder acceso al responsable anterior; comprueba el destinatario actual cuando corresponda y documenta la política. Evita difundir datos personales a todos los clientes.</w:t>
      </w:r>
    </w:p>
    <w:p>
      <w:r>
        <w:t>No prometas exactamente una entrega. Documenta duplicados, versiones, consulta REST inicial, ventana entre suscripción e instantánea y recuperación tras reconexión. Verifica que un fallo de publicación no borra el pedido ni el aviso, que el reintento usa el mismo eventId y que un usuario ajeno no recibe notificaciones. Actualiza docs/contracts/events.md y ejemplos para el frontend.</w:t>
      </w:r>
    </w:p>
    <w:p>
      <w:pPr>
        <w:pStyle w:val="Heading2"/>
      </w:pPr>
      <w:r>
        <w:t>P08 Base del frontend y mapa</w:t>
      </w:r>
    </w:p>
    <w:p>
      <w:r>
        <w:t>Estado: propuesto. Frontend. Entrada: contratos exportados del backend y sus hashes. Técnicas: contexto y estructura de salida.</w:t>
      </w:r>
    </w:p>
    <w:p>
      <w:pPr>
        <w:pStyle w:val="Heading2"/>
      </w:pPr>
      <w:r>
        <w:t>Texto para Codex</w:t>
      </w:r>
    </w:p>
    <w:p>
      <w:r>
        <w:t>Aplica P00. Crea Vue 3 con TypeScript, Vite, Router y Pinia, organizado por módulos según la especificación. Añade cliente HTTP tipado, manejo de ProblemDetails, rutas por rol, token en memoria y cierre de sesión al expirar. La API seguirá siendo la autoridad para permisos. Configura URL de API por entorno; nunca pongas secretos en variables VITE.</w:t>
      </w:r>
    </w:p>
    <w:p>
      <w:r>
        <w:t>Implementa login y vista del mesero con mapa de mesas, etiquetas legibles, estado textual además del color, leyenda, zona y posiciones guardadas en PostgreSQL. Permite seleccionar mesa, abrir cuenta y ver pedidos, saldo y mesero responsable. Administrador debe poder editar posiciones X/Y mediante un formulario y previsualizarlas; no hace falta un editor complejo de arrastrar.</w:t>
      </w:r>
    </w:p>
    <w:p>
      <w:r>
        <w:t>Diseña para escritorio y tableta con controles accesibles, foco visible, estados de carga, vacío y error. Separa vistas, componentes, servicios y stores. Consume contratos reales; no declares terminada una pantalla basada únicamente en mocks. Ejecuta typecheck, lint y pruebas de selección de mesa y permisos de rutas. Documenta la procedencia y versión del contrato.</w:t>
      </w:r>
    </w:p>
    <w:p>
      <w:pPr>
        <w:pStyle w:val="Heading2"/>
      </w:pPr>
      <w:r>
        <w:t>P09 Interfaces operativas integradas</w:t>
      </w:r>
    </w:p>
    <w:p>
      <w:r>
        <w:t>Estado: propuesto. Frontend. Entrada: P08 y API funcional. Técnicas: descomposición y aceptación.</w:t>
      </w:r>
    </w:p>
    <w:p>
      <w:pPr>
        <w:pStyle w:val="Heading2"/>
      </w:pPr>
      <w:r>
        <w:t>Texto para Codex</w:t>
      </w:r>
    </w:p>
    <w:p>
      <w:r>
        <w:t>Aplica P00. Completa formulario de pedido con líneas e instrucciones independientes, alerta manual de alergia, cantidades y confirmación; vista de cocina con mesa, hora, instrucciones completas y acciones preparar/listo; bandeja persistente de avisos del mesero y acción entregar; vista de caja con saldo, pagos, recibido, vuelto y comprobante; administración de catálogo, usuarios y mesas conforme al contrato.</w:t>
      </w:r>
    </w:p>
    <w:p>
      <w:r>
        <w:t>Integra SignalR con deduplicación por eventId, reconexión, indicador de conexión y recuperación de estado por REST. Suscríbete antes de la carga inicial y reconcilia cambios concurrentes. El mesero debe ver claramente en qué mesa entregar cada pedido. Muestra notificación dentro de la aplicación; sonido es opcional y no reemplaza la bandeja.</w:t>
      </w:r>
    </w:p>
    <w:p>
      <w:r>
        <w:t>Mantén las claves idempotentes al reintentar una misma operación y genera otras para operaciones nuevas. Conserva borradores ante errores recuperables. Nunca marques como cobrada o libre una mesa antes de confirmación del servidor. Frente a 409 recarga el estado y explica el conflicto. Escapa texto libre; no uses v-html para instrucciones. Prueba el flujo con los servicios reales y documenta cualquier parte aún incompleta.</w:t>
      </w:r>
    </w:p>
    <w:p>
      <w:pPr>
        <w:pStyle w:val="Heading2"/>
      </w:pPr>
      <w:r>
        <w:t>P10 Revisión de arquitectura y código limpio</w:t>
      </w:r>
    </w:p>
    <w:p>
      <w:r>
        <w:t>Estado: propuesto. Ambos repositorios. Entrada: implementación integrada. Técnica: revisión con evidencia.</w:t>
      </w:r>
    </w:p>
    <w:p>
      <w:pPr>
        <w:pStyle w:val="Heading2"/>
      </w:pPr>
      <w:r>
        <w:t>Texto para Codex</w:t>
      </w:r>
    </w:p>
    <w:p>
      <w:r>
        <w:t>Aplica P00. Revisa el código existente contra esta especificación. Corrige dependencias hacia fuera del núcleo, lógica en controladores, componentes con responsabilidades mezcladas, consultas duplicadas, uso incorrecto de scoped/singleton, montos float y permisos solo visuales. Evita agregar abstracciones sin un problema concreto.</w:t>
      </w:r>
    </w:p>
    <w:p>
      <w:r>
        <w:t>Actualiza docs/clean-code.md con práctica, problema resuelto, archivo y símbolo reales, prueba y commit de referencia. Completa docs/dependency-injection.md con interfaz, implementación, capa, consumidor, registro y ciclo de vida. Describe con precisión qué principios SOLID sí demuestra el código; no declares cobertura de todos por obligación.</w:t>
      </w:r>
    </w:p>
    <w:p>
      <w:r>
        <w:t>Ejecuta compilación, análisis y pruebas pertinentes a los cambios. Entrega hallazgos con evidencia, correcciones y pendientes. Mantén separados hechos verificados y recomendaciones. Actualiza la bitácora sin convertir prompts anteriores propuestos en ejecutados.</w:t>
      </w:r>
    </w:p>
    <w:p>
      <w:pPr>
        <w:pStyle w:val="Heading2"/>
      </w:pPr>
      <w:r>
        <w:t>P11 Validación integral</w:t>
      </w:r>
    </w:p>
    <w:p>
      <w:r>
        <w:t>Estado: propuesto. Ambos repositorios. Entrada: aplicación y PostgreSQL. Técnica: escenarios y criterios explícitos.</w:t>
      </w:r>
    </w:p>
    <w:p>
      <w:pPr>
        <w:pStyle w:val="Heading2"/>
      </w:pPr>
      <w:r>
        <w:t>Texto para Codex</w:t>
      </w:r>
    </w:p>
    <w:p>
      <w:r>
        <w:t>Aplica P00. Ejecuta una validación con sesiones independientes de dos meseros, cocina y cajero. Demuestra abrir mesa, enviar pedido con instrucciones, recibirlo en cocina sin recargar, marcarlo listo, notificar solo al responsable, entregar, pagar parcialmente y completar el pago para liberar la mesa. Usa Playwright cuando sea viable y conserva resultados reales.</w:t>
      </w:r>
    </w:p>
    <w:p>
      <w:r>
        <w:t>Comprueba doble clic e idempotencia; dos aperturas simultáneas; cobros concurrentes; carrera entre nuevo pedido y pago; pérdida y recuperación de SignalR; evento duplicado; token vencido; rol incorrecto; mesero ajeno; instrucciones con caracteres HTML; y persistencia después de reiniciar. Integra contra PostgreSQL real.</w:t>
      </w:r>
    </w:p>
    <w:p>
      <w:r>
        <w:t>Verifica la meta propuesta de actualización de hasta dos segundos en entorno local saludable, indicando condiciones, número de muestras y tiempos observados; si no puedes medirla, marca pendiente. Genera matriz requisito→prueba→resultado→evidencia, capturas reales para manuales e informe de errores. Corrige fallos del alcance y vuelve a ejecutar las pruebas afectadas. Nunca sustituyas resultados reales por resultados esperados.</w:t>
      </w:r>
    </w:p>
    <w:p>
      <w:pPr>
        <w:pStyle w:val="Heading2"/>
      </w:pPr>
      <w:r>
        <w:t>P12 Documentación publicación y paquete final</w:t>
      </w:r>
    </w:p>
    <w:p>
      <w:r>
        <w:t>Estado: propuesto. Ambos repositorios, directorio padre accesible. Técnicas: formato de salida y trazabilidad.</w:t>
      </w:r>
    </w:p>
    <w:p>
      <w:pPr>
        <w:pStyle w:val="Heading2"/>
      </w:pPr>
      <w:r>
        <w:t>Texto para Codex</w:t>
      </w:r>
    </w:p>
    <w:p>
      <w:r>
        <w:t>Aplica P00. Completa los siete entregables académicos con evidencia real: stack, arquitectura, clasificación TPS, repositorios públicos, código limpio, inyección y documentación. Consolida el informe final y la bitácora de todos los mensajes accesibles, incluyendo correcciones. Solicita al responsable transcripciones que falten; no reconstruyas texto literal por suposición.</w:t>
      </w:r>
    </w:p>
    <w:p>
      <w:r>
        <w:t>Prepara Git en cada carpeta y commits coherentes. Si existe cuenta GitHub autenticada y destino inequívoco, crea restaurante-backend y restaurante-frontend públicos sin sobrescribir repositorios existentes, publica y verifica lectura sin autenticación. Esta etapa autoriza esa publicación del proyecto académico, después de excluir secretos y datos privados. Si falta cuenta o el nombre tiene conflicto, deja preparados commits y comandos y pide solo el dato necesario; no inventes URLs.</w:t>
      </w:r>
    </w:p>
    <w:p>
      <w:r>
        <w:t>Ubica deploy/compose.yaml en backend con contextos que funcionen con las carpetas hermanas. Incluye Dockerfiles, health checks, volumen PostgreSQL, migración antes del arranque, seed demo habilitado explícitamente, .env.example y scripts de arranque para PowerShell y shell. Documenta requisitos, puertos, credenciales demo configurables, primera ejecución y reinicios, y una alternativa de desarrollo con SDK. No destruyas volúmenes automáticamente.</w:t>
      </w:r>
    </w:p>
    <w:p>
      <w:r>
        <w:t>Genera restaurante-entrega.zip con ambas carpetas de código fuente, README raíz, SQL generado, migraciones, documentos, lockfiles, scripts y manifiesto con hashes de ambos commits. Excluye .git, .env, tokens, node_modules, bin, obj y datos reales. El ZIP debe poder construirse sin clonar los repositorios, aunque requiera internet para descargar imágenes y dependencias. Extráelo en una carpeta limpia y ejecuta exactamente su README; prueba el flujo principal y que reiniciar no borra datos. Entrega ubicación del ZIP, enlaces verificados, versiones y resultados del arranque. Si falta una validación, indícala como pendiente.</w:t>
      </w:r>
    </w:p>
    <w:p>
      <w:pPr>
        <w:pStyle w:val="Heading2"/>
      </w:pPr>
      <w:r>
        <w:t>P13 Corrección documentada</w:t>
      </w:r>
    </w:p>
    <w:p>
      <w:r>
        <w:t>Estado: propuesto. Plantilla reutilizable. Sustituir los corchetes. Técnicas: depuración contextual y refinamiento iterativo.</w:t>
      </w:r>
    </w:p>
    <w:p>
      <w:pPr>
        <w:pStyle w:val="Heading2"/>
      </w:pPr>
      <w:r>
        <w:t>Texto para Codex</w:t>
      </w:r>
    </w:p>
    <w:p>
      <w:r>
        <w:t>Aplica P00. Registra esta solicitud como una ejecución nueva vinculada al prompt [ID] y commit [HASH]. Resultado esperado: [COMPORTAMIENTO]. Resultado observado: [COMPORTAMIENTO]. Pasos para reproducir: [PASOS]. Error literal o archivo de log depurado: [ERROR]. Entorno y versiones: [DATOS].</w:t>
      </w:r>
    </w:p>
    <w:p>
      <w:r>
        <w:t>Reproduce el problema, identifica la causa apoyándote en el código y realiza la corrección mínima compatible con la especificación. No cambies stack, reglas de cobro ni permisos para ocultar el error. Añade o ajusta una prueba que detecte la regresión cuando corresponda y ejecuta las comprobaciones afectadas. Documenta causa, cambio, resultado real y archivos modificados. Si el error no puede reproducirse, informa qué evidencia falta; no declares que quedó resuelto.</w:t>
      </w:r>
    </w:p>
    <w:p>
      <w:pPr>
        <w:pStyle w:val="Heading2"/>
      </w:pPr>
      <w:r>
        <w:t>P14 Cambio de requisito</w:t>
      </w:r>
    </w:p>
    <w:p>
      <w:r>
        <w:t>Estado: propuesto. Plantilla reutilizable. Sustituir los corchetes. Técnicas: contexto y control de alcance.</w:t>
      </w:r>
    </w:p>
    <w:p>
      <w:pPr>
        <w:pStyle w:val="Heading2"/>
      </w:pPr>
      <w:r>
        <w:t>Texto para Codex</w:t>
      </w:r>
    </w:p>
    <w:p>
      <w:r>
        <w:t>Aplica P00. Se solicita el siguiente cambio autorizado: [REQUISITO NUEVO]. Motivo: [JUSTIFICACIÓN]. Sustituye o amplía la regla [ID]. Conserva las demás reglas del sistema.</w:t>
      </w:r>
    </w:p>
    <w:p>
      <w:r>
        <w:t>Antes de implementar, identifica impacto en entidades, estados, permisos, cobros, contratos REST y eventos, migraciones, frontend, pruebas y manuales. Registra la decisión y una nueva versión de la especificación. Si afecta a ambos repositorios, actualiza los contratos y anota los dos commits compatibles. Implementa el cambio con pruebas del comportamiento nuevo y del flujo anterior que debe preservarse. Registra literalmente este mensaje y los mensajes posteriores en la bitácora.</w:t>
      </w:r>
    </w:p>
    <w:p>
      <w:pPr>
        <w:pStyle w:val="Heading1"/>
      </w:pPr>
      <w:r>
        <w:t>10 Lista de aceptación para la entrega</w:t>
      </w:r>
    </w:p>
    <w:tbl>
      <w:tblPr>
        <w:tblW w:type="auto" w:w="0"/>
        <w:tblLayout w:type="fixed"/>
        <w:tblLook w:firstColumn="1" w:firstRow="1" w:lastColumn="0" w:lastRow="0" w:noHBand="0" w:noVBand="1" w:val="04A0"/>
      </w:tblPr>
      <w:tblGrid>
        <w:gridCol w:w="4968"/>
        <w:gridCol w:w="4968"/>
      </w:tblGrid>
      <w:tr>
        <w:trPr>
          <w:tblHeader/>
          <w:cantSplit/>
        </w:trPr>
        <w:tc>
          <w:tcPr>
            <w:tcW w:type="dxa" w:w="4968"/>
            <w:tcBorders>
              <w:top w:val="single" w:sz="4" w:color="D9D9D9"/>
              <w:left w:val="single" w:sz="4" w:color="D9D9D9"/>
              <w:bottom w:val="single" w:sz="4" w:color="D9D9D9"/>
              <w:right w:val="single" w:sz="4" w:color="D9D9D9"/>
            </w:tcBorders>
            <w:shd w:fill="E8EDF2"/>
          </w:tcPr>
          <w:p>
            <w:r>
              <w:rPr>
                <w:b/>
                <w:sz w:val="20"/>
              </w:rPr>
              <w:t>ID</w:t>
            </w:r>
          </w:p>
        </w:tc>
        <w:tc>
          <w:tcPr>
            <w:tcW w:type="dxa" w:w="4968"/>
            <w:tcBorders>
              <w:top w:val="single" w:sz="4" w:color="D9D9D9"/>
              <w:left w:val="single" w:sz="4" w:color="D9D9D9"/>
              <w:bottom w:val="single" w:sz="4" w:color="D9D9D9"/>
              <w:right w:val="single" w:sz="4" w:color="D9D9D9"/>
            </w:tcBorders>
            <w:shd w:fill="E8EDF2"/>
          </w:tcPr>
          <w:p>
            <w:r>
              <w:rPr>
                <w:b/>
                <w:sz w:val="20"/>
              </w:rPr>
              <w:t>Evidencia necesaria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A01</w:t>
            </w:r>
          </w:p>
        </w:tc>
        <w:tc>
          <w:tcPr>
            <w:tcW w:type="dxa" w:w="4968"/>
            <w:tcBorders>
              <w:top w:val="single" w:sz="4" w:color="D9D9D9"/>
              <w:left w:val="single" w:sz="4" w:color="D9D9D9"/>
              <w:bottom w:val="single" w:sz="4" w:color="D9D9D9"/>
              <w:right w:val="single" w:sz="4" w:color="D9D9D9"/>
            </w:tcBorders>
          </w:tcPr>
          <w:p>
            <w:r>
              <w:rPr>
                <w:b w:val="0"/>
                <w:sz w:val="20"/>
              </w:rPr>
              <w:t>Cuenta única por mesa y mapa con posiciones persistidas.</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A02</w:t>
            </w:r>
          </w:p>
        </w:tc>
        <w:tc>
          <w:tcPr>
            <w:tcW w:type="dxa" w:w="4968"/>
            <w:tcBorders>
              <w:top w:val="single" w:sz="4" w:color="D9D9D9"/>
              <w:left w:val="single" w:sz="4" w:color="D9D9D9"/>
              <w:bottom w:val="single" w:sz="4" w:color="D9D9D9"/>
              <w:right w:val="single" w:sz="4" w:color="D9D9D9"/>
            </w:tcBorders>
          </w:tcPr>
          <w:p>
            <w:r>
              <w:rPr>
                <w:b w:val="0"/>
                <w:sz w:val="20"/>
              </w:rPr>
              <w:t>Pedido conserva mesa, cantidades, precios e instrucciones por línea.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A03</w:t>
            </w:r>
          </w:p>
        </w:tc>
        <w:tc>
          <w:tcPr>
            <w:tcW w:type="dxa" w:w="4968"/>
            <w:tcBorders>
              <w:top w:val="single" w:sz="4" w:color="D9D9D9"/>
              <w:left w:val="single" w:sz="4" w:color="D9D9D9"/>
              <w:bottom w:val="single" w:sz="4" w:color="D9D9D9"/>
              <w:right w:val="single" w:sz="4" w:color="D9D9D9"/>
            </w:tcBorders>
          </w:tcPr>
          <w:p>
            <w:r>
              <w:rPr>
                <w:b w:val="0"/>
                <w:sz w:val="20"/>
              </w:rPr>
              <w:t>Cocina ve nuevos pedidos sin recarga; medición local documentada.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A04</w:t>
            </w:r>
          </w:p>
        </w:tc>
        <w:tc>
          <w:tcPr>
            <w:tcW w:type="dxa" w:w="4968"/>
            <w:tcBorders>
              <w:top w:val="single" w:sz="4" w:color="D9D9D9"/>
              <w:left w:val="single" w:sz="4" w:color="D9D9D9"/>
              <w:bottom w:val="single" w:sz="4" w:color="D9D9D9"/>
              <w:right w:val="single" w:sz="4" w:color="D9D9D9"/>
            </w:tcBorders>
          </w:tcPr>
          <w:p>
            <w:r>
              <w:rPr>
                <w:b w:val="0"/>
                <w:sz w:val="20"/>
              </w:rPr>
              <w:t>Listo genera aviso persistente al mesero autorizado y permite entrega.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A05</w:t>
            </w:r>
          </w:p>
        </w:tc>
        <w:tc>
          <w:tcPr>
            <w:tcW w:type="dxa" w:w="4968"/>
            <w:tcBorders>
              <w:top w:val="single" w:sz="4" w:color="D9D9D9"/>
              <w:left w:val="single" w:sz="4" w:color="D9D9D9"/>
              <w:bottom w:val="single" w:sz="4" w:color="D9D9D9"/>
              <w:right w:val="single" w:sz="4" w:color="D9D9D9"/>
            </w:tcBorders>
          </w:tcPr>
          <w:p>
            <w:r>
              <w:rPr>
                <w:b w:val="0"/>
                <w:sz w:val="20"/>
              </w:rPr>
              <w:t>Pago parcial mantiene mesa ocupada; pago completo la libera atómicamente.</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A06</w:t>
            </w:r>
          </w:p>
        </w:tc>
        <w:tc>
          <w:tcPr>
            <w:tcW w:type="dxa" w:w="4968"/>
            <w:tcBorders>
              <w:top w:val="single" w:sz="4" w:color="D9D9D9"/>
              <w:left w:val="single" w:sz="4" w:color="D9D9D9"/>
              <w:bottom w:val="single" w:sz="4" w:color="D9D9D9"/>
              <w:right w:val="single" w:sz="4" w:color="D9D9D9"/>
            </w:tcBorders>
          </w:tcPr>
          <w:p>
            <w:r>
              <w:rPr>
                <w:b w:val="0"/>
                <w:sz w:val="20"/>
              </w:rPr>
              <w:t>Concurrencia e idempotencia evitan doble apertura, pedido y cobro.</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A07</w:t>
            </w:r>
          </w:p>
        </w:tc>
        <w:tc>
          <w:tcPr>
            <w:tcW w:type="dxa" w:w="4968"/>
            <w:tcBorders>
              <w:top w:val="single" w:sz="4" w:color="D9D9D9"/>
              <w:left w:val="single" w:sz="4" w:color="D9D9D9"/>
              <w:bottom w:val="single" w:sz="4" w:color="D9D9D9"/>
              <w:right w:val="single" w:sz="4" w:color="D9D9D9"/>
            </w:tcBorders>
          </w:tcPr>
          <w:p>
            <w:r>
              <w:rPr>
                <w:b w:val="0"/>
                <w:sz w:val="20"/>
              </w:rPr>
              <w:t>Recuperación tras desconexión, reinicio y expiración de sesión.</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A08</w:t>
            </w:r>
          </w:p>
        </w:tc>
        <w:tc>
          <w:tcPr>
            <w:tcW w:type="dxa" w:w="4968"/>
            <w:tcBorders>
              <w:top w:val="single" w:sz="4" w:color="D9D9D9"/>
              <w:left w:val="single" w:sz="4" w:color="D9D9D9"/>
              <w:bottom w:val="single" w:sz="4" w:color="D9D9D9"/>
              <w:right w:val="single" w:sz="4" w:color="D9D9D9"/>
            </w:tcBorders>
          </w:tcPr>
          <w:p>
            <w:r>
              <w:rPr>
                <w:b w:val="0"/>
                <w:sz w:val="20"/>
              </w:rPr>
              <w:t>Permisos comprobados por API y hub, incluidos accesos ajenos.</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A09</w:t>
            </w:r>
          </w:p>
        </w:tc>
        <w:tc>
          <w:tcPr>
            <w:tcW w:type="dxa" w:w="4968"/>
            <w:tcBorders>
              <w:top w:val="single" w:sz="4" w:color="D9D9D9"/>
              <w:left w:val="single" w:sz="4" w:color="D9D9D9"/>
              <w:bottom w:val="single" w:sz="4" w:color="D9D9D9"/>
              <w:right w:val="single" w:sz="4" w:color="D9D9D9"/>
            </w:tcBorders>
          </w:tcPr>
          <w:p>
            <w:r>
              <w:rPr>
                <w:b w:val="0"/>
                <w:sz w:val="20"/>
              </w:rPr>
              <w:t>Dependencias de Arquitectura Limpia comprobadas y DI documentada.</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A10</w:t>
            </w:r>
          </w:p>
        </w:tc>
        <w:tc>
          <w:tcPr>
            <w:tcW w:type="dxa" w:w="4968"/>
            <w:tcBorders>
              <w:top w:val="single" w:sz="4" w:color="D9D9D9"/>
              <w:left w:val="single" w:sz="4" w:color="D9D9D9"/>
              <w:bottom w:val="single" w:sz="4" w:color="D9D9D9"/>
              <w:right w:val="single" w:sz="4" w:color="D9D9D9"/>
            </w:tcBorders>
          </w:tcPr>
          <w:p>
            <w:r>
              <w:rPr>
                <w:b w:val="0"/>
                <w:sz w:val="20"/>
              </w:rPr>
              <w:t>Dos repositorios públicos verificables, sin secretos, con versiones enlazadas.</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A11</w:t>
            </w:r>
          </w:p>
        </w:tc>
        <w:tc>
          <w:tcPr>
            <w:tcW w:type="dxa" w:w="4968"/>
            <w:tcBorders>
              <w:top w:val="single" w:sz="4" w:color="D9D9D9"/>
              <w:left w:val="single" w:sz="4" w:color="D9D9D9"/>
              <w:bottom w:val="single" w:sz="4" w:color="D9D9D9"/>
              <w:right w:val="single" w:sz="4" w:color="D9D9D9"/>
            </w:tcBorders>
          </w:tcPr>
          <w:p>
            <w:r>
              <w:rPr>
                <w:b w:val="0"/>
                <w:sz w:val="20"/>
              </w:rPr>
              <w:t>ZIP arranca desde extracción limpia siguiendo el README.</w:t>
            </w:r>
          </w:p>
        </w:tc>
      </w:tr>
      <w:tr>
        <w:trPr>
          <w:cantSplit/>
        </w:trPr>
        <w:tc>
          <w:tcPr>
            <w:tcW w:type="dxa" w:w="4968"/>
            <w:tcBorders>
              <w:top w:val="single" w:sz="4" w:color="D9D9D9"/>
              <w:left w:val="single" w:sz="4" w:color="D9D9D9"/>
              <w:bottom w:val="single" w:sz="4" w:color="D9D9D9"/>
              <w:right w:val="single" w:sz="4" w:color="D9D9D9"/>
            </w:tcBorders>
          </w:tcPr>
          <w:p>
            <w:r>
              <w:rPr>
                <w:b w:val="0"/>
                <w:sz w:val="20"/>
              </w:rPr>
              <w:t>A12</w:t>
            </w:r>
          </w:p>
        </w:tc>
        <w:tc>
          <w:tcPr>
            <w:tcW w:type="dxa" w:w="4968"/>
            <w:tcBorders>
              <w:top w:val="single" w:sz="4" w:color="D9D9D9"/>
              <w:left w:val="single" w:sz="4" w:color="D9D9D9"/>
              <w:bottom w:val="single" w:sz="4" w:color="D9D9D9"/>
              <w:right w:val="single" w:sz="4" w:color="D9D9D9"/>
            </w:tcBorders>
          </w:tcPr>
          <w:p>
            <w:r>
              <w:rPr>
                <w:b w:val="0"/>
                <w:sz w:val="20"/>
              </w:rPr>
              <w:t>Bitácora contiene prompts realmente usados, revisiones y evidencia; no solo el catálogo.</w:t>
            </w:r>
          </w:p>
        </w:tc>
      </w:tr>
    </w:tbl>
    <w:p/>
    <w:p>
      <w:r>
        <w:t>Meta técnica propuesta: en entorno local saludable, los cambios deben reflejarse en la vista conectada en un máximo de dos segundos. Se trata de un criterio a medir durante la implementación, no de un resultado obtenido en este documento. El servicio puede ser una sola instancia de API para la demostración; escalamiento horizontal queda fuera del alcance.</w:t>
      </w:r>
    </w:p>
    <w:p>
      <w:pPr>
        <w:pStyle w:val="Heading1"/>
      </w:pPr>
      <w:r>
        <w:t>11 Fuentes y límites de esta especificación</w:t>
      </w:r>
    </w:p>
    <w:p>
      <w:r>
        <w:t>Consulta: 9 de septiembre de 2026. Los documentos oficiales sustentan las elecciones técnicas; las reglas del restaurante son decisiones de diseño propuestas para este ejercicio.</w:t>
      </w:r>
    </w:p>
    <w:p>
      <w:r>
        <w:t>Microsoft. Política de soporte de .NET. https://dotnet.microsoft.com/en-us/platform/support/policy/dotnet-core</w:t>
      </w:r>
    </w:p>
    <w:p>
      <w:r>
        <w:t>Microsoft Learn. Common web application architectures. https://learn.microsoft.com/en-us/dotnet/architecture/modern-web-apps-azure/common-web-application-architectures</w:t>
      </w:r>
    </w:p>
    <w:p>
      <w:r>
        <w:t>Microsoft Learn. Overview of ASP.NET Core SignalR. https://learn.microsoft.com/en-us/aspnet/core/signalr/introduction?view=aspnetcore-10.0</w:t>
      </w:r>
    </w:p>
    <w:p>
      <w:r>
        <w:t>Vue.js. Using Vue with TypeScript. Referencia para tipado y herramientas del frontend. https://vuejs.org/guide/typescript/overview.html</w:t>
      </w:r>
    </w:p>
    <w:p>
      <w:r>
        <w:t>PostgreSQL Global Development Group. Versioning Policy. https://www.postgresql.org/support/versioning/</w:t>
      </w:r>
    </w:p>
    <w:p>
      <w:r>
        <w:t>Actividad de Ingeniería de prompts del aula virtual. Contenido no consultado. https://virtual.mesoamericana.edu.gt/mod/assign/view.php?id=449252</w:t>
      </w:r>
    </w:p>
    <w:p>
      <w:r>
        <w:t>Pendientes del equipo: cotejar la clasificación con los sistemas vistos en clase, confirmar la interpretación docente de la restricción de arquitectura y aportar el material de ingeniería de prompts para ajustar nombres de técnicas. Ninguno se presenta como una validación ya obtenida. Esta guía deja listo el trabajo para Codex; el informe final deberá describir lo realmente implementado.</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Especificación para Codex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