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5EE2" w14:textId="347ADB39" w:rsidR="00B618D5" w:rsidRDefault="00B85A4B" w:rsidP="00B618D5">
      <w:pPr>
        <w:pStyle w:val="Title"/>
      </w:pPr>
      <w:r>
        <w:t>Assignment #2 US Patent Office Analysis</w:t>
      </w:r>
    </w:p>
    <w:p w14:paraId="3F09181C" w14:textId="214502AB" w:rsidR="00B85A4B" w:rsidRDefault="00B85A4B" w:rsidP="00B85A4B">
      <w:pPr>
        <w:pStyle w:val="Subtitle"/>
      </w:pPr>
      <w:r>
        <w:t>Group 4:</w:t>
      </w:r>
    </w:p>
    <w:p w14:paraId="6F8426EC" w14:textId="77777777" w:rsidR="00B85A4B" w:rsidRPr="00B85A4B" w:rsidRDefault="00B85A4B" w:rsidP="00B85A4B"/>
    <w:tbl>
      <w:tblPr>
        <w:tblStyle w:val="TableGrid"/>
        <w:tblW w:w="3240" w:type="dxa"/>
        <w:tblInd w:w="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260"/>
      </w:tblGrid>
      <w:tr w:rsidR="00B85A4B" w14:paraId="4A705A36" w14:textId="77777777" w:rsidTr="00B85A4B">
        <w:tc>
          <w:tcPr>
            <w:tcW w:w="1980" w:type="dxa"/>
            <w:tcBorders>
              <w:right w:val="single" w:sz="4" w:space="0" w:color="auto"/>
            </w:tcBorders>
          </w:tcPr>
          <w:p w14:paraId="1800C1CB" w14:textId="6A500F8F" w:rsidR="00B85A4B" w:rsidRPr="00B85A4B" w:rsidRDefault="00B85A4B" w:rsidP="00B85A4B">
            <w:pPr>
              <w:pStyle w:val="Subtitle"/>
              <w:ind w:left="0"/>
              <w:jc w:val="left"/>
            </w:pPr>
            <w:bookmarkStart w:id="0" w:name="_p3fwibeayyc5" w:colFirst="0" w:colLast="0"/>
            <w:bookmarkEnd w:id="0"/>
            <w:r w:rsidRPr="00B85A4B">
              <w:t>Will Stephenson</w:t>
            </w:r>
          </w:p>
        </w:tc>
        <w:tc>
          <w:tcPr>
            <w:tcW w:w="1260" w:type="dxa"/>
            <w:tcBorders>
              <w:left w:val="single" w:sz="4" w:space="0" w:color="auto"/>
            </w:tcBorders>
          </w:tcPr>
          <w:p w14:paraId="701756F8" w14:textId="17BC7EF5" w:rsidR="00B85A4B" w:rsidRPr="00B85A4B" w:rsidRDefault="00B85A4B" w:rsidP="00B85A4B">
            <w:pPr>
              <w:pStyle w:val="Subtitle"/>
              <w:ind w:left="0"/>
              <w:jc w:val="left"/>
            </w:pPr>
            <w:r w:rsidRPr="00B85A4B">
              <w:t>261082056</w:t>
            </w:r>
          </w:p>
        </w:tc>
      </w:tr>
      <w:tr w:rsidR="00B85A4B" w14:paraId="24BA28DB" w14:textId="77777777" w:rsidTr="00B85A4B">
        <w:tc>
          <w:tcPr>
            <w:tcW w:w="1980" w:type="dxa"/>
            <w:tcBorders>
              <w:right w:val="single" w:sz="4" w:space="0" w:color="auto"/>
            </w:tcBorders>
          </w:tcPr>
          <w:p w14:paraId="534195AB" w14:textId="1C71CDD3" w:rsidR="00B85A4B" w:rsidRPr="00B85A4B" w:rsidRDefault="00B85A4B" w:rsidP="00B85A4B">
            <w:pPr>
              <w:pStyle w:val="Subtitle"/>
              <w:ind w:left="0"/>
              <w:jc w:val="left"/>
            </w:pPr>
            <w:r w:rsidRPr="00B85A4B">
              <w:t>Hugo Garcia</w:t>
            </w:r>
          </w:p>
        </w:tc>
        <w:tc>
          <w:tcPr>
            <w:tcW w:w="1260" w:type="dxa"/>
            <w:tcBorders>
              <w:left w:val="single" w:sz="4" w:space="0" w:color="auto"/>
            </w:tcBorders>
          </w:tcPr>
          <w:p w14:paraId="1617A8F9" w14:textId="09DEDDDD" w:rsidR="00B85A4B" w:rsidRPr="00B85A4B" w:rsidRDefault="00B85A4B" w:rsidP="00B85A4B">
            <w:pPr>
              <w:pStyle w:val="Subtitle"/>
              <w:ind w:left="0"/>
              <w:jc w:val="left"/>
            </w:pPr>
            <w:r w:rsidRPr="00B85A4B">
              <w:t>260791363</w:t>
            </w:r>
          </w:p>
        </w:tc>
      </w:tr>
      <w:tr w:rsidR="00B85A4B" w14:paraId="6A301D89" w14:textId="77777777" w:rsidTr="00B85A4B">
        <w:tc>
          <w:tcPr>
            <w:tcW w:w="1980" w:type="dxa"/>
            <w:tcBorders>
              <w:right w:val="single" w:sz="4" w:space="0" w:color="auto"/>
            </w:tcBorders>
          </w:tcPr>
          <w:p w14:paraId="14BE2F94" w14:textId="54F1C834" w:rsidR="00B85A4B" w:rsidRPr="00B85A4B" w:rsidRDefault="00B85A4B" w:rsidP="00B85A4B">
            <w:pPr>
              <w:pStyle w:val="Subtitle"/>
              <w:ind w:left="0"/>
              <w:jc w:val="left"/>
            </w:pPr>
            <w:r w:rsidRPr="00B85A4B">
              <w:t>Liliana Tretyakova</w:t>
            </w:r>
          </w:p>
        </w:tc>
        <w:tc>
          <w:tcPr>
            <w:tcW w:w="1260" w:type="dxa"/>
            <w:tcBorders>
              <w:left w:val="single" w:sz="4" w:space="0" w:color="auto"/>
            </w:tcBorders>
          </w:tcPr>
          <w:p w14:paraId="5F340852" w14:textId="69B8821C" w:rsidR="00B85A4B" w:rsidRPr="00B85A4B" w:rsidRDefault="00B85A4B" w:rsidP="00B85A4B">
            <w:pPr>
              <w:pStyle w:val="Subtitle"/>
              <w:ind w:left="0"/>
              <w:jc w:val="left"/>
            </w:pPr>
            <w:r w:rsidRPr="00B85A4B">
              <w:t>261086215</w:t>
            </w:r>
          </w:p>
        </w:tc>
      </w:tr>
      <w:tr w:rsidR="00B85A4B" w14:paraId="28251E35" w14:textId="77777777" w:rsidTr="00B85A4B">
        <w:trPr>
          <w:trHeight w:val="71"/>
        </w:trPr>
        <w:tc>
          <w:tcPr>
            <w:tcW w:w="1980" w:type="dxa"/>
            <w:tcBorders>
              <w:right w:val="single" w:sz="4" w:space="0" w:color="auto"/>
            </w:tcBorders>
          </w:tcPr>
          <w:p w14:paraId="52E9F240" w14:textId="627AF9A0" w:rsidR="00B85A4B" w:rsidRPr="00B85A4B" w:rsidRDefault="00B85A4B" w:rsidP="00B85A4B">
            <w:pPr>
              <w:pStyle w:val="Subtitle"/>
              <w:ind w:left="525" w:hanging="525"/>
              <w:jc w:val="left"/>
            </w:pPr>
            <w:r w:rsidRPr="00B85A4B">
              <w:t xml:space="preserve">Emery Dittmer </w:t>
            </w:r>
          </w:p>
        </w:tc>
        <w:tc>
          <w:tcPr>
            <w:tcW w:w="1260" w:type="dxa"/>
            <w:tcBorders>
              <w:left w:val="single" w:sz="4" w:space="0" w:color="auto"/>
            </w:tcBorders>
          </w:tcPr>
          <w:p w14:paraId="73FF6726" w14:textId="7C81F947" w:rsidR="00B85A4B" w:rsidRPr="00B85A4B" w:rsidRDefault="00B85A4B" w:rsidP="00B85A4B">
            <w:pPr>
              <w:pStyle w:val="Subtitle"/>
              <w:ind w:left="0"/>
              <w:jc w:val="left"/>
            </w:pPr>
            <w:r w:rsidRPr="00B85A4B">
              <w:t>260658030</w:t>
            </w:r>
          </w:p>
        </w:tc>
      </w:tr>
    </w:tbl>
    <w:p w14:paraId="0EDB2D95" w14:textId="77777777" w:rsidR="00B85A4B" w:rsidRDefault="00B85A4B" w:rsidP="00B618D5">
      <w:pPr>
        <w:pStyle w:val="Subtitle"/>
      </w:pPr>
    </w:p>
    <w:p w14:paraId="68C8EE03" w14:textId="7D142FB7" w:rsidR="00B85A4B" w:rsidRDefault="00B85A4B" w:rsidP="00B85A4B">
      <w:pPr>
        <w:pStyle w:val="Heading1"/>
      </w:pPr>
      <w:r>
        <w:t>Context of Task</w:t>
      </w:r>
    </w:p>
    <w:p w14:paraId="757581E8" w14:textId="77777777" w:rsidR="00B85A4B" w:rsidRPr="00B85A4B" w:rsidRDefault="00B85A4B" w:rsidP="00B85A4B"/>
    <w:p w14:paraId="24C93591" w14:textId="422E2988" w:rsidR="00B85A4B" w:rsidRDefault="00B85A4B" w:rsidP="0020385B">
      <w:pPr>
        <w:pStyle w:val="Heading2"/>
      </w:pPr>
      <w:r>
        <w:t>US Patent Office</w:t>
      </w:r>
    </w:p>
    <w:p w14:paraId="7FFC28A2" w14:textId="06DA7E61" w:rsidR="00B85A4B" w:rsidRDefault="00B85A4B" w:rsidP="00797E8E">
      <w:pPr>
        <w:spacing w:line="276" w:lineRule="auto"/>
        <w:rPr>
          <w:rStyle w:val="hgkelc"/>
          <w:lang w:val="en"/>
        </w:rPr>
      </w:pPr>
      <w:r>
        <w:rPr>
          <w:rStyle w:val="hgkelc"/>
          <w:lang w:val="en"/>
        </w:rPr>
        <w:tab/>
      </w:r>
      <w:r>
        <w:rPr>
          <w:rStyle w:val="hgkelc"/>
          <w:lang w:val="en"/>
        </w:rPr>
        <w:t>The</w:t>
      </w:r>
      <w:r>
        <w:rPr>
          <w:rStyle w:val="hgkelc"/>
          <w:lang w:val="en"/>
        </w:rPr>
        <w:t xml:space="preserve"> United States Patent Office (USPTO)</w:t>
      </w:r>
      <w:r>
        <w:rPr>
          <w:rStyle w:val="hgkelc"/>
          <w:lang w:val="en"/>
        </w:rPr>
        <w:t xml:space="preserve"> </w:t>
      </w:r>
      <w:r>
        <w:rPr>
          <w:rStyle w:val="jpfdse"/>
          <w:lang w:val="en"/>
        </w:rPr>
        <w:t>USPTO</w:t>
      </w:r>
      <w:r>
        <w:rPr>
          <w:rStyle w:val="hgkelc"/>
          <w:lang w:val="en"/>
        </w:rPr>
        <w:t xml:space="preserve"> advises the president of the United States, the secretary of commerce, and U.S. government agencies on intellectual property (IP) policy, protection, and enforcement; and promotes the stronger and more effective IP protection around the world</w:t>
      </w:r>
      <w:r>
        <w:rPr>
          <w:rStyle w:val="hgkelc"/>
          <w:lang w:val="en"/>
        </w:rPr>
        <w:t xml:space="preserve"> according to their website.</w:t>
      </w:r>
    </w:p>
    <w:p w14:paraId="2081CA9A" w14:textId="072EFEF9" w:rsidR="00B85A4B" w:rsidRDefault="00B85A4B" w:rsidP="00797E8E">
      <w:pPr>
        <w:spacing w:line="276" w:lineRule="auto"/>
        <w:rPr>
          <w:rStyle w:val="hgkelc"/>
          <w:lang w:val="en"/>
        </w:rPr>
      </w:pPr>
    </w:p>
    <w:p w14:paraId="30F83E9F" w14:textId="2ECD43E5" w:rsidR="00B85A4B" w:rsidRDefault="00B85A4B" w:rsidP="00797E8E">
      <w:pPr>
        <w:spacing w:line="276" w:lineRule="auto"/>
        <w:rPr>
          <w:rStyle w:val="hgkelc"/>
          <w:lang w:val="en"/>
        </w:rPr>
      </w:pPr>
      <w:r>
        <w:rPr>
          <w:rStyle w:val="hgkelc"/>
          <w:lang w:val="en"/>
        </w:rPr>
        <w:tab/>
        <w:t xml:space="preserve">The USPTO is a large employer of patent examiners. In this basic study we are examining the human metrics of these patent employees. This includes turnover rate, mobility within the company and more. To accomplish this we are using a dataset provided by the USPTO (simplified by our instructor). Additional details can be found </w:t>
      </w:r>
      <w:hyperlink r:id="rId8" w:history="1">
        <w:r w:rsidRPr="00B85A4B">
          <w:rPr>
            <w:rStyle w:val="Hyperlink"/>
            <w:lang w:val="en"/>
          </w:rPr>
          <w:t>here</w:t>
        </w:r>
      </w:hyperlink>
      <w:r>
        <w:rPr>
          <w:rStyle w:val="hgkelc"/>
          <w:lang w:val="en"/>
        </w:rPr>
        <w:t xml:space="preserve"> and the </w:t>
      </w:r>
      <w:hyperlink r:id="rId9" w:history="1">
        <w:r w:rsidRPr="00B85A4B">
          <w:rPr>
            <w:rStyle w:val="Hyperlink"/>
            <w:lang w:val="en"/>
          </w:rPr>
          <w:t>datasets here.</w:t>
        </w:r>
      </w:hyperlink>
    </w:p>
    <w:p w14:paraId="54EC4330" w14:textId="77777777" w:rsidR="00B85A4B" w:rsidRPr="00B85A4B" w:rsidRDefault="00B85A4B" w:rsidP="00B85A4B"/>
    <w:p w14:paraId="1DA5527F" w14:textId="263D4648" w:rsidR="00B85A4B" w:rsidRDefault="00B85A4B" w:rsidP="0020385B">
      <w:pPr>
        <w:pStyle w:val="Heading2"/>
      </w:pPr>
      <w:r>
        <w:t>Data Exploration</w:t>
      </w:r>
    </w:p>
    <w:p w14:paraId="17BE118C" w14:textId="77777777" w:rsidR="00797E8E" w:rsidRPr="00797E8E" w:rsidRDefault="00797E8E" w:rsidP="00797E8E"/>
    <w:p w14:paraId="692EA580" w14:textId="3DCC7146" w:rsidR="00B85A4B" w:rsidRDefault="00B85A4B" w:rsidP="00797E8E">
      <w:pPr>
        <w:spacing w:line="276" w:lineRule="auto"/>
      </w:pPr>
      <w:r>
        <w:tab/>
      </w:r>
      <w:r>
        <w:t xml:space="preserve">To explore the data we first looked into the NAs for the first name. As we knew that both the race and the gender packages were based on name. We wanted to also make sure that the data made sense for first names but as the dataset was too large to validate manually we looked at first names at somewhat random intervals to ensure that they were entered in a consistent format. </w:t>
      </w:r>
    </w:p>
    <w:p w14:paraId="67226803" w14:textId="77777777" w:rsidR="00B85A4B" w:rsidRDefault="00B85A4B" w:rsidP="00797E8E">
      <w:pPr>
        <w:spacing w:line="276" w:lineRule="auto"/>
      </w:pPr>
    </w:p>
    <w:p w14:paraId="41A9C885" w14:textId="77777777" w:rsidR="00797E8E" w:rsidRDefault="00B85A4B" w:rsidP="00797E8E">
      <w:pPr>
        <w:spacing w:line="276" w:lineRule="auto"/>
      </w:pPr>
      <w:r>
        <w:tab/>
      </w:r>
      <w:r>
        <w:t xml:space="preserve">Further exploration was required for the patent process. To determine our measure for marking a patent for the clerk per month we needed to determine which date to use. As the filing system didn’t represent the actual work of the </w:t>
      </w:r>
      <w:r w:rsidR="00797E8E">
        <w:t>clerks,</w:t>
      </w:r>
      <w:r>
        <w:t xml:space="preserve"> we looked to the filing date. We also took into consideration dates that the patent was abandoned. </w:t>
      </w:r>
      <w:r w:rsidR="00797E8E">
        <w:t>Unfortunately,</w:t>
      </w:r>
      <w:r>
        <w:t xml:space="preserve"> when exploring these dates we did find some nonsense dates, such as the year 2050, </w:t>
      </w:r>
      <w:r w:rsidR="00797E8E">
        <w:t>2900, or</w:t>
      </w:r>
      <w:r>
        <w:t xml:space="preserve"> 3000. We believe that this could likely be attributed to human error and we discussed how we could replace this data with our best guesses informed by the surrounding data (</w:t>
      </w:r>
      <w:proofErr w:type="spellStart"/>
      <w:r>
        <w:t>ie</w:t>
      </w:r>
      <w:proofErr w:type="spellEnd"/>
      <w:r>
        <w:t xml:space="preserve"> for the data that was in the year 3000, would the date make sense based on the application or status change date and if the 3 was a 2?) then could we change it to our guess? </w:t>
      </w:r>
    </w:p>
    <w:p w14:paraId="714C678D" w14:textId="5025E606" w:rsidR="00B85A4B" w:rsidRPr="00B85A4B" w:rsidRDefault="00797E8E" w:rsidP="00797E8E">
      <w:pPr>
        <w:spacing w:line="276" w:lineRule="auto"/>
      </w:pPr>
      <w:r>
        <w:tab/>
      </w:r>
      <w:r w:rsidR="00B85A4B">
        <w:t xml:space="preserve">We didn’t land on consensus for this and opted to remove them </w:t>
      </w:r>
      <w:r>
        <w:t>instead,</w:t>
      </w:r>
      <w:r w:rsidR="00B85A4B">
        <w:t xml:space="preserve"> but this line of thought did go into our exploration discussion. </w:t>
      </w:r>
      <w:r w:rsidR="00B85A4B" w:rsidRPr="00B85A4B">
        <w:t xml:space="preserve">Once we had gone through the dates and </w:t>
      </w:r>
      <w:r w:rsidRPr="00B85A4B">
        <w:t>names,</w:t>
      </w:r>
      <w:r w:rsidR="00B85A4B" w:rsidRPr="00B85A4B">
        <w:t xml:space="preserve"> we felt more comfortable </w:t>
      </w:r>
      <w:r w:rsidRPr="00B85A4B">
        <w:t>working</w:t>
      </w:r>
      <w:r w:rsidR="00B85A4B" w:rsidRPr="00B85A4B">
        <w:t xml:space="preserve"> with this dataset and importantly, felt that we understood what information would be most valuable for the task.</w:t>
      </w:r>
    </w:p>
    <w:p w14:paraId="6EDEB15A" w14:textId="77777777" w:rsidR="00095F3C" w:rsidRPr="00095F3C" w:rsidRDefault="00095F3C" w:rsidP="00095F3C"/>
    <w:p w14:paraId="38B2E404" w14:textId="3F53D955" w:rsidR="00D331AF" w:rsidRDefault="00095F3C" w:rsidP="0020385B">
      <w:pPr>
        <w:pStyle w:val="Heading2"/>
      </w:pPr>
      <w:r>
        <w:t xml:space="preserve">Data </w:t>
      </w:r>
      <w:r w:rsidR="00797E8E">
        <w:t>aggregation</w:t>
      </w:r>
    </w:p>
    <w:p w14:paraId="1063DF30" w14:textId="0436E5BC" w:rsidR="00095F3C" w:rsidRDefault="00095F3C" w:rsidP="00095F3C"/>
    <w:p w14:paraId="49180768" w14:textId="3B355BA0" w:rsidR="00797E8E" w:rsidRDefault="00797E8E" w:rsidP="00095F3C">
      <w:r>
        <w:tab/>
        <w:t xml:space="preserve">Once done with the data exploration we proceeded with data aggregation. Focusing the attention on biometric data by examiner and quarter we aggregated all data based on examiner quarterly data. This data </w:t>
      </w:r>
      <w:r w:rsidR="00CF6DB3">
        <w:t>included the</w:t>
      </w:r>
      <w:r>
        <w:t xml:space="preserve"> number of applications of each type per </w:t>
      </w:r>
      <w:r>
        <w:lastRenderedPageBreak/>
        <w:t>quarter</w:t>
      </w:r>
      <w:r w:rsidR="00CF6DB3">
        <w:t xml:space="preserve"> (i.e. issued, pending, abandoned). The current art unit for each examiner, the number of people, women and examiners by ethnicity. </w:t>
      </w:r>
    </w:p>
    <w:p w14:paraId="07743201" w14:textId="14EF4C9E" w:rsidR="00797E8E" w:rsidRDefault="00797E8E" w:rsidP="00797E8E">
      <w:pPr>
        <w:pStyle w:val="Heading1"/>
      </w:pPr>
      <w:r>
        <w:t xml:space="preserve"> Analysis</w:t>
      </w:r>
    </w:p>
    <w:p w14:paraId="3B5AFB00" w14:textId="48C08F53" w:rsidR="00797E8E" w:rsidRDefault="00797E8E" w:rsidP="00797E8E"/>
    <w:p w14:paraId="1E47428A" w14:textId="0E1B2695" w:rsidR="00797E8E" w:rsidRDefault="00797E8E" w:rsidP="00797E8E">
      <w:pPr>
        <w:pStyle w:val="Heading2"/>
      </w:pPr>
      <w:r>
        <w:t>Analysis</w:t>
      </w:r>
    </w:p>
    <w:p w14:paraId="42A3D48E" w14:textId="77777777" w:rsidR="00797E8E" w:rsidRPr="00797E8E" w:rsidRDefault="00797E8E" w:rsidP="00797E8E"/>
    <w:p w14:paraId="6336217B" w14:textId="49643AFA" w:rsidR="00797E8E" w:rsidRDefault="00797E8E" w:rsidP="00797E8E">
      <w:r>
        <w:t>We evaluated basic metrics for the data set. We found that the examiners had an average mobility of 2.4 art units throughout their careers. This would indicate that on average, each examiner goes through 2.4 art units and is highly mobile throughout their careers. This number has limitations as the movement back to a previous art unit was not counted as ‘mobility’ and the annual average might give more insights and a comparable metric for benchmarking.</w:t>
      </w:r>
    </w:p>
    <w:p w14:paraId="25375998" w14:textId="5774EEB7" w:rsidR="00797E8E" w:rsidRDefault="00797E8E" w:rsidP="00797E8E"/>
    <w:p w14:paraId="3BF6BBCC" w14:textId="7099685A" w:rsidR="00797E8E" w:rsidRPr="00797E8E" w:rsidRDefault="002D4644" w:rsidP="00797E8E">
      <w:r>
        <w:tab/>
        <w:t>Furthermore,</w:t>
      </w:r>
      <w:r w:rsidR="00797E8E">
        <w:t xml:space="preserve"> we found that the turnover was on average 24%</w:t>
      </w:r>
      <w:r>
        <w:t xml:space="preserve"> from 2000-2016. This would indicate that 24% of their staff left the company between these years. There were no direct observations or indicators of whether or not an examiner had left. Therefore, These numbers were gathered from the transactional data, where we investigated the last quarter where activity was logged. We assumed that the ratio of pre-2017 and 2017 activity was a good stand-in metric for turnover. A lack of activity in 2017 indicates turnover whereas activity in 2017 indicates employment.</w:t>
      </w:r>
    </w:p>
    <w:p w14:paraId="4AF08139" w14:textId="77777777" w:rsidR="00797E8E" w:rsidRPr="00095F3C" w:rsidRDefault="00797E8E" w:rsidP="00095F3C"/>
    <w:p w14:paraId="3366DD52" w14:textId="4845444C" w:rsidR="00797E8E" w:rsidRDefault="00095F3C" w:rsidP="00095F3C">
      <w:pPr>
        <w:pStyle w:val="Heading2"/>
      </w:pPr>
      <w:r>
        <w:t>Insights</w:t>
      </w:r>
      <w:r w:rsidR="00797E8E">
        <w:t xml:space="preserve"> – Graphs</w:t>
      </w:r>
    </w:p>
    <w:p w14:paraId="2459FE57" w14:textId="1747DDE2" w:rsidR="002D4644" w:rsidRDefault="002D4644" w:rsidP="002D4644">
      <w:r>
        <w:t>Further to these key metrics we investigated basic biometric data for all the patent examiners</w:t>
      </w:r>
      <w:r w:rsidR="004B31EC">
        <w:t>.</w:t>
      </w:r>
    </w:p>
    <w:p w14:paraId="3B17E0A6" w14:textId="438980EA" w:rsidR="004B31EC" w:rsidRDefault="004B31EC" w:rsidP="002D4644"/>
    <w:p w14:paraId="629A283E" w14:textId="77777777" w:rsidR="004B31EC" w:rsidRDefault="004B31EC" w:rsidP="004B31EC">
      <w:pPr>
        <w:keepNext/>
        <w:jc w:val="center"/>
      </w:pPr>
      <w:r>
        <w:rPr>
          <w:noProof/>
        </w:rPr>
        <w:drawing>
          <wp:inline distT="0" distB="0" distL="0" distR="0" wp14:anchorId="43346D36" wp14:editId="49BE93B6">
            <wp:extent cx="3652838" cy="2448764"/>
            <wp:effectExtent l="0" t="0" r="5080" b="889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081" cy="2454290"/>
                    </a:xfrm>
                    <a:prstGeom prst="rect">
                      <a:avLst/>
                    </a:prstGeom>
                    <a:noFill/>
                    <a:ln>
                      <a:noFill/>
                    </a:ln>
                  </pic:spPr>
                </pic:pic>
              </a:graphicData>
            </a:graphic>
          </wp:inline>
        </w:drawing>
      </w:r>
    </w:p>
    <w:p w14:paraId="6A2E7D41" w14:textId="720FA73B" w:rsidR="004B31EC" w:rsidRDefault="004B31EC" w:rsidP="004B31EC">
      <w:pPr>
        <w:pStyle w:val="Caption"/>
        <w:jc w:val="center"/>
      </w:pPr>
      <w:r>
        <w:t xml:space="preserve">Figure </w:t>
      </w:r>
      <w:fldSimple w:instr=" SEQ Figure \* ARABIC ">
        <w:r w:rsidR="00474CE4">
          <w:rPr>
            <w:noProof/>
          </w:rPr>
          <w:t>1</w:t>
        </w:r>
      </w:fldSimple>
      <w:r>
        <w:t xml:space="preserve">: </w:t>
      </w:r>
      <w:r w:rsidRPr="00497064">
        <w:t>Examiner Gender distribution across all examiners</w:t>
      </w:r>
    </w:p>
    <w:p w14:paraId="55ED0C8A" w14:textId="34F5FFB1" w:rsidR="004B31EC" w:rsidRDefault="004B31EC" w:rsidP="004B31EC">
      <w:pPr>
        <w:keepNext/>
      </w:pPr>
      <w:r>
        <w:tab/>
        <w:t>Most examiners are male, indicating an under-representation of women in patent examination.</w:t>
      </w:r>
    </w:p>
    <w:p w14:paraId="2E994AF4" w14:textId="40AF2049" w:rsidR="00797E8E" w:rsidRPr="00797E8E" w:rsidRDefault="00797E8E" w:rsidP="004B31EC">
      <w:pPr>
        <w:jc w:val="center"/>
      </w:pPr>
    </w:p>
    <w:p w14:paraId="57B9D4D9" w14:textId="77777777" w:rsidR="00797E8E" w:rsidRDefault="00797E8E" w:rsidP="004B31EC">
      <w:pPr>
        <w:keepNext/>
        <w:jc w:val="center"/>
      </w:pPr>
      <w:r>
        <w:rPr>
          <w:noProof/>
        </w:rPr>
        <w:lastRenderedPageBreak/>
        <w:drawing>
          <wp:inline distT="0" distB="0" distL="0" distR="0" wp14:anchorId="5ED6E50F" wp14:editId="624F7130">
            <wp:extent cx="3595688" cy="2495084"/>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205" cy="2508627"/>
                    </a:xfrm>
                    <a:prstGeom prst="rect">
                      <a:avLst/>
                    </a:prstGeom>
                    <a:noFill/>
                    <a:ln>
                      <a:noFill/>
                    </a:ln>
                  </pic:spPr>
                </pic:pic>
              </a:graphicData>
            </a:graphic>
          </wp:inline>
        </w:drawing>
      </w:r>
    </w:p>
    <w:p w14:paraId="71DDC38F" w14:textId="0D6D63BF" w:rsidR="00797E8E" w:rsidRDefault="00797E8E" w:rsidP="004B31EC">
      <w:pPr>
        <w:pStyle w:val="Caption"/>
        <w:jc w:val="center"/>
      </w:pPr>
      <w:r>
        <w:t xml:space="preserve">Figure </w:t>
      </w:r>
      <w:fldSimple w:instr=" SEQ Figure \* ARABIC ">
        <w:r w:rsidR="00474CE4">
          <w:rPr>
            <w:noProof/>
          </w:rPr>
          <w:t>2</w:t>
        </w:r>
      </w:fldSimple>
      <w:r>
        <w:t>: Pie Chart of Examiner ethnicity for all examiners in dataset</w:t>
      </w:r>
    </w:p>
    <w:p w14:paraId="40A9F48C" w14:textId="53EF8B8A" w:rsidR="004B31EC" w:rsidRDefault="004B31EC" w:rsidP="004B31EC">
      <w:r>
        <w:t>Most examiners tend to be white or Asian. Black and Hispanic people make up only a small proportion of all examiners.</w:t>
      </w:r>
    </w:p>
    <w:p w14:paraId="27C9162F" w14:textId="77777777" w:rsidR="004B31EC" w:rsidRPr="004B31EC" w:rsidRDefault="004B31EC" w:rsidP="004B31EC"/>
    <w:p w14:paraId="232B0BB1" w14:textId="3B0E9E79" w:rsidR="00797E8E" w:rsidRDefault="00797E8E" w:rsidP="004B31EC">
      <w:pPr>
        <w:keepNext/>
        <w:jc w:val="center"/>
      </w:pPr>
    </w:p>
    <w:p w14:paraId="2BE3ED13" w14:textId="4B2558D4" w:rsidR="004B31EC" w:rsidRDefault="00797E8E" w:rsidP="004B31EC">
      <w:pPr>
        <w:keepNext/>
        <w:jc w:val="center"/>
      </w:pPr>
      <w:r>
        <w:rPr>
          <w:noProof/>
        </w:rPr>
        <mc:AlternateContent>
          <mc:Choice Requires="wps">
            <w:drawing>
              <wp:inline distT="0" distB="0" distL="0" distR="0" wp14:anchorId="1A0E4D1B" wp14:editId="44419F2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780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A35B91E" wp14:editId="72EAE1A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9C40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1EC">
        <w:rPr>
          <w:noProof/>
        </w:rPr>
        <w:drawing>
          <wp:inline distT="0" distB="0" distL="0" distR="0" wp14:anchorId="4B79F971" wp14:editId="21634BC1">
            <wp:extent cx="3776663" cy="2269304"/>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50" t="2318" r="828" b="2662"/>
                    <a:stretch/>
                  </pic:blipFill>
                  <pic:spPr bwMode="auto">
                    <a:xfrm>
                      <a:off x="0" y="0"/>
                      <a:ext cx="3806823" cy="2287427"/>
                    </a:xfrm>
                    <a:prstGeom prst="rect">
                      <a:avLst/>
                    </a:prstGeom>
                    <a:noFill/>
                    <a:ln>
                      <a:noFill/>
                    </a:ln>
                    <a:extLst>
                      <a:ext uri="{53640926-AAD7-44D8-BBD7-CCE9431645EC}">
                        <a14:shadowObscured xmlns:a14="http://schemas.microsoft.com/office/drawing/2010/main"/>
                      </a:ext>
                    </a:extLst>
                  </pic:spPr>
                </pic:pic>
              </a:graphicData>
            </a:graphic>
          </wp:inline>
        </w:drawing>
      </w:r>
    </w:p>
    <w:p w14:paraId="1E0CF9FE" w14:textId="6BD940B1" w:rsidR="0079297F" w:rsidRDefault="004B31EC" w:rsidP="004B31EC">
      <w:pPr>
        <w:pStyle w:val="Caption"/>
        <w:jc w:val="center"/>
      </w:pPr>
      <w:r>
        <w:t xml:space="preserve">Figure </w:t>
      </w:r>
      <w:fldSimple w:instr=" SEQ Figure \* ARABIC ">
        <w:r w:rsidR="00474CE4">
          <w:rPr>
            <w:noProof/>
          </w:rPr>
          <w:t>3</w:t>
        </w:r>
      </w:fldSimple>
      <w:r>
        <w:t>:</w:t>
      </w:r>
      <w:r w:rsidRPr="0048724A">
        <w:t xml:space="preserve"> Patent Examiner by Gender and Ethnicity.</w:t>
      </w:r>
    </w:p>
    <w:p w14:paraId="7F6DD32E" w14:textId="11C40CF8" w:rsidR="004B31EC" w:rsidRDefault="004B31EC" w:rsidP="004B31EC">
      <w:r>
        <w:t>All ethnicity metrics indicate a predominant male distribution. The largest groups are white men and women while the groups with the lowest populations are Black and Hispanic women.</w:t>
      </w:r>
    </w:p>
    <w:p w14:paraId="29324C87" w14:textId="09AEA6FF" w:rsidR="00474CE4" w:rsidRDefault="00474CE4" w:rsidP="004B31EC"/>
    <w:p w14:paraId="79E8C14B" w14:textId="77777777" w:rsidR="00474CE4" w:rsidRDefault="00474CE4" w:rsidP="00474CE4">
      <w:pPr>
        <w:keepNext/>
      </w:pPr>
      <w:r>
        <w:rPr>
          <w:noProof/>
        </w:rPr>
        <w:lastRenderedPageBreak/>
        <w:drawing>
          <wp:inline distT="0" distB="0" distL="0" distR="0" wp14:anchorId="64DD2E94" wp14:editId="3C58A283">
            <wp:extent cx="5143883"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1004" cy="2899608"/>
                    </a:xfrm>
                    <a:prstGeom prst="rect">
                      <a:avLst/>
                    </a:prstGeom>
                    <a:noFill/>
                    <a:ln>
                      <a:noFill/>
                    </a:ln>
                  </pic:spPr>
                </pic:pic>
              </a:graphicData>
            </a:graphic>
          </wp:inline>
        </w:drawing>
      </w:r>
    </w:p>
    <w:p w14:paraId="0C4930D9" w14:textId="7C1CF9FF" w:rsidR="00474CE4" w:rsidRPr="004B31EC" w:rsidRDefault="00474CE4" w:rsidP="00474CE4">
      <w:pPr>
        <w:pStyle w:val="Caption"/>
        <w:jc w:val="center"/>
      </w:pPr>
      <w:r>
        <w:t xml:space="preserve">Figure </w:t>
      </w:r>
      <w:fldSimple w:instr=" SEQ Figure \* ARABIC ">
        <w:r>
          <w:rPr>
            <w:noProof/>
          </w:rPr>
          <w:t>4</w:t>
        </w:r>
      </w:fldSimple>
      <w:r>
        <w:t>: Number of Examiners per art unit and per ethnicity</w:t>
      </w:r>
    </w:p>
    <w:sectPr w:rsidR="00474CE4" w:rsidRPr="004B31EC" w:rsidSect="005605BC">
      <w:headerReference w:type="default" r:id="rId14"/>
      <w:footerReference w:type="default" r:id="rId15"/>
      <w:pgSz w:w="12240" w:h="15840"/>
      <w:pgMar w:top="1440" w:right="1440" w:bottom="1440" w:left="1440" w:header="576"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F3B3" w14:textId="77777777" w:rsidR="00D717C1" w:rsidRDefault="00D717C1">
      <w:r>
        <w:separator/>
      </w:r>
    </w:p>
  </w:endnote>
  <w:endnote w:type="continuationSeparator" w:id="0">
    <w:p w14:paraId="05F95E3F" w14:textId="77777777" w:rsidR="00D717C1" w:rsidRDefault="00D7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7570"/>
      <w:docPartObj>
        <w:docPartGallery w:val="Page Numbers (Bottom of Page)"/>
        <w:docPartUnique/>
      </w:docPartObj>
    </w:sdtPr>
    <w:sdtContent>
      <w:sdt>
        <w:sdtPr>
          <w:id w:val="-1769616900"/>
          <w:docPartObj>
            <w:docPartGallery w:val="Page Numbers (Top of Page)"/>
            <w:docPartUnique/>
          </w:docPartObj>
        </w:sdtPr>
        <w:sdtContent>
          <w:p w14:paraId="68B5728F" w14:textId="77777777" w:rsidR="005605BC" w:rsidRDefault="005605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F8D4EF" w14:textId="77777777" w:rsidR="005605BC" w:rsidRDefault="00560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073C" w14:textId="77777777" w:rsidR="00D717C1" w:rsidRDefault="00D717C1">
      <w:r>
        <w:separator/>
      </w:r>
    </w:p>
  </w:footnote>
  <w:footnote w:type="continuationSeparator" w:id="0">
    <w:p w14:paraId="2AEB5E77" w14:textId="77777777" w:rsidR="00D717C1" w:rsidRDefault="00D71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C2FB" w14:textId="77777777" w:rsidR="003772B5" w:rsidRDefault="005605BC">
    <w:pPr>
      <w:pBdr>
        <w:top w:val="nil"/>
        <w:left w:val="nil"/>
        <w:bottom w:val="nil"/>
        <w:right w:val="nil"/>
        <w:between w:val="nil"/>
      </w:pBdr>
      <w:tabs>
        <w:tab w:val="center" w:pos="4680"/>
        <w:tab w:val="right" w:pos="9360"/>
      </w:tabs>
      <w:ind w:left="0"/>
      <w:rPr>
        <w:rFonts w:ascii="Times New Roman" w:eastAsia="Times New Roman" w:hAnsi="Times New Roman" w:cs="Times New Roman"/>
        <w:color w:val="000000"/>
      </w:rPr>
    </w:pPr>
    <w:r>
      <w:rPr>
        <w:noProof/>
      </w:rPr>
      <w:drawing>
        <wp:anchor distT="0" distB="0" distL="0" distR="0" simplePos="0" relativeHeight="251659264" behindDoc="1" locked="0" layoutInCell="1" hidden="0" allowOverlap="1" wp14:anchorId="113B73A5" wp14:editId="30D04AAC">
          <wp:simplePos x="0" y="0"/>
          <wp:positionH relativeFrom="column">
            <wp:posOffset>4882731</wp:posOffset>
          </wp:positionH>
          <wp:positionV relativeFrom="paragraph">
            <wp:posOffset>-356187</wp:posOffset>
          </wp:positionV>
          <wp:extent cx="4552950" cy="3429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8D5">
      <w:rPr>
        <w:noProof/>
      </w:rPr>
      <w:drawing>
        <wp:anchor distT="0" distB="0" distL="0" distR="0" simplePos="0" relativeHeight="251661312" behindDoc="1" locked="0" layoutInCell="1" hidden="0" allowOverlap="1" wp14:anchorId="41CD7822" wp14:editId="02868D6B">
          <wp:simplePos x="0" y="0"/>
          <wp:positionH relativeFrom="page">
            <wp:posOffset>0</wp:posOffset>
          </wp:positionH>
          <wp:positionV relativeFrom="paragraph">
            <wp:posOffset>-283845</wp:posOffset>
          </wp:positionV>
          <wp:extent cx="2786332" cy="293281"/>
          <wp:effectExtent l="0" t="0" r="0" b="0"/>
          <wp:wrapNone/>
          <wp:docPr id="2"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6441" cy="293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B7B"/>
    <w:multiLevelType w:val="multilevel"/>
    <w:tmpl w:val="DDC45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15E"/>
    <w:multiLevelType w:val="multilevel"/>
    <w:tmpl w:val="509CE7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740000"/>
    <w:multiLevelType w:val="hybridMultilevel"/>
    <w:tmpl w:val="4DA074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8E1332"/>
    <w:multiLevelType w:val="multilevel"/>
    <w:tmpl w:val="65386E42"/>
    <w:lvl w:ilvl="0">
      <w:start w:val="1"/>
      <w:numFmt w:val="decimal"/>
      <w:lvlText w:val="%1."/>
      <w:lvlJc w:val="left"/>
      <w:pPr>
        <w:ind w:left="360" w:hanging="360"/>
      </w:pPr>
      <w:rPr>
        <w:b/>
        <w:bCs w:val="0"/>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370D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17D2900"/>
    <w:multiLevelType w:val="multilevel"/>
    <w:tmpl w:val="21DC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6542D"/>
    <w:multiLevelType w:val="multilevel"/>
    <w:tmpl w:val="01ACA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05B36"/>
    <w:multiLevelType w:val="multilevel"/>
    <w:tmpl w:val="F21A6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0330"/>
    <w:multiLevelType w:val="multilevel"/>
    <w:tmpl w:val="F2320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F06B5"/>
    <w:multiLevelType w:val="multilevel"/>
    <w:tmpl w:val="0F5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F02BB"/>
    <w:multiLevelType w:val="multilevel"/>
    <w:tmpl w:val="DB0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9156">
    <w:abstractNumId w:val="2"/>
  </w:num>
  <w:num w:numId="2" w16cid:durableId="1037968417">
    <w:abstractNumId w:val="3"/>
  </w:num>
  <w:num w:numId="3" w16cid:durableId="837041737">
    <w:abstractNumId w:val="4"/>
  </w:num>
  <w:num w:numId="4" w16cid:durableId="950207214">
    <w:abstractNumId w:val="1"/>
  </w:num>
  <w:num w:numId="5" w16cid:durableId="890265775">
    <w:abstractNumId w:val="3"/>
  </w:num>
  <w:num w:numId="6" w16cid:durableId="1890654517">
    <w:abstractNumId w:val="10"/>
  </w:num>
  <w:num w:numId="7" w16cid:durableId="1206794600">
    <w:abstractNumId w:val="9"/>
  </w:num>
  <w:num w:numId="8" w16cid:durableId="288977664">
    <w:abstractNumId w:val="6"/>
  </w:num>
  <w:num w:numId="9" w16cid:durableId="499007747">
    <w:abstractNumId w:val="5"/>
  </w:num>
  <w:num w:numId="10" w16cid:durableId="1085305857">
    <w:abstractNumId w:val="0"/>
  </w:num>
  <w:num w:numId="11" w16cid:durableId="250553123">
    <w:abstractNumId w:val="8"/>
  </w:num>
  <w:num w:numId="12" w16cid:durableId="852184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48"/>
    <w:rsid w:val="000423B3"/>
    <w:rsid w:val="0008218D"/>
    <w:rsid w:val="00095F3C"/>
    <w:rsid w:val="00141DFB"/>
    <w:rsid w:val="00146913"/>
    <w:rsid w:val="00152104"/>
    <w:rsid w:val="001642AD"/>
    <w:rsid w:val="001B37F1"/>
    <w:rsid w:val="0020385B"/>
    <w:rsid w:val="00297CB9"/>
    <w:rsid w:val="002B6BFD"/>
    <w:rsid w:val="002D4644"/>
    <w:rsid w:val="00306FAB"/>
    <w:rsid w:val="003351EE"/>
    <w:rsid w:val="003772B5"/>
    <w:rsid w:val="003F5C48"/>
    <w:rsid w:val="003F6AED"/>
    <w:rsid w:val="004572C4"/>
    <w:rsid w:val="00474CE4"/>
    <w:rsid w:val="004A4AD6"/>
    <w:rsid w:val="004B31EC"/>
    <w:rsid w:val="004C1082"/>
    <w:rsid w:val="00532EBF"/>
    <w:rsid w:val="005605BC"/>
    <w:rsid w:val="005718F9"/>
    <w:rsid w:val="00591714"/>
    <w:rsid w:val="005D6394"/>
    <w:rsid w:val="0060387E"/>
    <w:rsid w:val="006F1964"/>
    <w:rsid w:val="0079297F"/>
    <w:rsid w:val="00797E8E"/>
    <w:rsid w:val="007B3705"/>
    <w:rsid w:val="007F7322"/>
    <w:rsid w:val="00822E8A"/>
    <w:rsid w:val="008D3315"/>
    <w:rsid w:val="008E3EF9"/>
    <w:rsid w:val="009E60A9"/>
    <w:rsid w:val="009F58FA"/>
    <w:rsid w:val="00A4157C"/>
    <w:rsid w:val="00A905E3"/>
    <w:rsid w:val="00AC415D"/>
    <w:rsid w:val="00B12BE3"/>
    <w:rsid w:val="00B618D5"/>
    <w:rsid w:val="00B85A4B"/>
    <w:rsid w:val="00BC3D3B"/>
    <w:rsid w:val="00C07E04"/>
    <w:rsid w:val="00C60CEE"/>
    <w:rsid w:val="00CB6E59"/>
    <w:rsid w:val="00CD1F3E"/>
    <w:rsid w:val="00CF6DB3"/>
    <w:rsid w:val="00D1037B"/>
    <w:rsid w:val="00D331AF"/>
    <w:rsid w:val="00D51F9C"/>
    <w:rsid w:val="00D717C1"/>
    <w:rsid w:val="00D87A66"/>
    <w:rsid w:val="00E15E56"/>
    <w:rsid w:val="00F85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003A6"/>
  <w15:docId w15:val="{1746AD4B-ABB5-4113-82E6-1658EB0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tabs>
          <w:tab w:val="left" w:pos="270"/>
        </w:tabs>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9E60A9"/>
    <w:pPr>
      <w:numPr>
        <w:numId w:val="4"/>
      </w:numPr>
      <w:outlineLvl w:val="0"/>
    </w:pPr>
    <w:rPr>
      <w:b/>
      <w:bCs/>
      <w:vanish/>
      <w:color w:val="FF0000"/>
      <w:sz w:val="30"/>
      <w:szCs w:val="30"/>
    </w:rPr>
  </w:style>
  <w:style w:type="paragraph" w:styleId="Heading2">
    <w:name w:val="heading 2"/>
    <w:basedOn w:val="ListParagraph"/>
    <w:next w:val="Normal"/>
    <w:uiPriority w:val="9"/>
    <w:unhideWhenUsed/>
    <w:qFormat/>
    <w:rsid w:val="00D331AF"/>
    <w:pPr>
      <w:numPr>
        <w:ilvl w:val="1"/>
        <w:numId w:val="4"/>
      </w:numPr>
      <w:outlineLvl w:val="1"/>
    </w:pPr>
    <w:rPr>
      <w:b/>
      <w:bCs/>
      <w:color w:val="5D6771"/>
      <w:sz w:val="24"/>
      <w:szCs w:val="24"/>
    </w:rPr>
  </w:style>
  <w:style w:type="paragraph" w:styleId="Heading3">
    <w:name w:val="heading 3"/>
    <w:basedOn w:val="ListParagraph"/>
    <w:next w:val="Normal"/>
    <w:uiPriority w:val="9"/>
    <w:unhideWhenUsed/>
    <w:qFormat/>
    <w:rsid w:val="00D51F9C"/>
    <w:pPr>
      <w:numPr>
        <w:ilvl w:val="2"/>
        <w:numId w:val="4"/>
      </w:numPr>
      <w:outlineLvl w:val="2"/>
    </w:pPr>
    <w:rPr>
      <w:b/>
      <w:bCs/>
      <w:sz w:val="22"/>
      <w:szCs w:val="22"/>
    </w:rPr>
  </w:style>
  <w:style w:type="paragraph" w:styleId="Heading4">
    <w:name w:val="heading 4"/>
    <w:basedOn w:val="ListParagraph"/>
    <w:next w:val="Normal"/>
    <w:uiPriority w:val="9"/>
    <w:unhideWhenUsed/>
    <w:qFormat/>
    <w:rsid w:val="00D51F9C"/>
    <w:pPr>
      <w:numPr>
        <w:ilvl w:val="3"/>
        <w:numId w:val="4"/>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b/>
      <w:i/>
      <w:sz w:val="40"/>
      <w:szCs w:val="40"/>
    </w:rPr>
  </w:style>
  <w:style w:type="paragraph" w:styleId="Subtitle">
    <w:name w:val="Subtitle"/>
    <w:basedOn w:val="Normal"/>
    <w:next w:val="Normal"/>
    <w:link w:val="SubtitleChar"/>
    <w:uiPriority w:val="11"/>
    <w:qFormat/>
    <w:pPr>
      <w:jc w:val="center"/>
    </w:pPr>
  </w:style>
  <w:style w:type="paragraph" w:styleId="Header">
    <w:name w:val="header"/>
    <w:basedOn w:val="Normal"/>
    <w:link w:val="HeaderChar"/>
    <w:uiPriority w:val="99"/>
    <w:unhideWhenUsed/>
    <w:rsid w:val="001B37F1"/>
    <w:pPr>
      <w:tabs>
        <w:tab w:val="clear" w:pos="270"/>
        <w:tab w:val="center" w:pos="4680"/>
        <w:tab w:val="right" w:pos="9360"/>
      </w:tabs>
    </w:pPr>
  </w:style>
  <w:style w:type="character" w:customStyle="1" w:styleId="HeaderChar">
    <w:name w:val="Header Char"/>
    <w:basedOn w:val="DefaultParagraphFont"/>
    <w:link w:val="Header"/>
    <w:uiPriority w:val="99"/>
    <w:rsid w:val="001B37F1"/>
  </w:style>
  <w:style w:type="paragraph" w:styleId="Footer">
    <w:name w:val="footer"/>
    <w:basedOn w:val="Normal"/>
    <w:link w:val="FooterChar"/>
    <w:uiPriority w:val="99"/>
    <w:unhideWhenUsed/>
    <w:rsid w:val="001B37F1"/>
    <w:pPr>
      <w:tabs>
        <w:tab w:val="clear" w:pos="270"/>
        <w:tab w:val="center" w:pos="4680"/>
        <w:tab w:val="right" w:pos="9360"/>
      </w:tabs>
    </w:pPr>
  </w:style>
  <w:style w:type="character" w:customStyle="1" w:styleId="FooterChar">
    <w:name w:val="Footer Char"/>
    <w:basedOn w:val="DefaultParagraphFont"/>
    <w:link w:val="Footer"/>
    <w:uiPriority w:val="99"/>
    <w:rsid w:val="001B37F1"/>
  </w:style>
  <w:style w:type="table" w:styleId="TableGrid">
    <w:name w:val="Table Grid"/>
    <w:basedOn w:val="TableNormal"/>
    <w:uiPriority w:val="39"/>
    <w:rsid w:val="001B3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6BFD"/>
    <w:rPr>
      <w:color w:val="0000FF" w:themeColor="hyperlink"/>
      <w:u w:val="single"/>
    </w:rPr>
  </w:style>
  <w:style w:type="character" w:styleId="UnresolvedMention">
    <w:name w:val="Unresolved Mention"/>
    <w:basedOn w:val="DefaultParagraphFont"/>
    <w:uiPriority w:val="99"/>
    <w:semiHidden/>
    <w:unhideWhenUsed/>
    <w:rsid w:val="002B6BFD"/>
    <w:rPr>
      <w:color w:val="605E5C"/>
      <w:shd w:val="clear" w:color="auto" w:fill="E1DFDD"/>
    </w:rPr>
  </w:style>
  <w:style w:type="table" w:styleId="PlainTable1">
    <w:name w:val="Plain Table 1"/>
    <w:basedOn w:val="TableNormal"/>
    <w:uiPriority w:val="41"/>
    <w:rsid w:val="005718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1F3E"/>
    <w:pPr>
      <w:ind w:left="720"/>
      <w:contextualSpacing/>
    </w:pPr>
  </w:style>
  <w:style w:type="paragraph" w:customStyle="1" w:styleId="paragraph">
    <w:name w:val="paragraph"/>
    <w:basedOn w:val="Normal"/>
    <w:rsid w:val="009E60A9"/>
    <w:pPr>
      <w:tabs>
        <w:tab w:val="clear" w:pos="270"/>
      </w:tabs>
      <w:spacing w:before="100" w:beforeAutospacing="1" w:after="100" w:afterAutospacing="1"/>
      <w:ind w:left="0"/>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9E60A9"/>
  </w:style>
  <w:style w:type="character" w:customStyle="1" w:styleId="eop">
    <w:name w:val="eop"/>
    <w:basedOn w:val="DefaultParagraphFont"/>
    <w:rsid w:val="009E60A9"/>
  </w:style>
  <w:style w:type="character" w:customStyle="1" w:styleId="TitleChar">
    <w:name w:val="Title Char"/>
    <w:basedOn w:val="DefaultParagraphFont"/>
    <w:link w:val="Title"/>
    <w:uiPriority w:val="10"/>
    <w:rsid w:val="00B618D5"/>
    <w:rPr>
      <w:b/>
      <w:i/>
      <w:sz w:val="40"/>
      <w:szCs w:val="40"/>
    </w:rPr>
  </w:style>
  <w:style w:type="character" w:customStyle="1" w:styleId="SubtitleChar">
    <w:name w:val="Subtitle Char"/>
    <w:basedOn w:val="DefaultParagraphFont"/>
    <w:link w:val="Subtitle"/>
    <w:uiPriority w:val="11"/>
    <w:rsid w:val="00B618D5"/>
  </w:style>
  <w:style w:type="character" w:customStyle="1" w:styleId="hgkelc">
    <w:name w:val="hgkelc"/>
    <w:basedOn w:val="DefaultParagraphFont"/>
    <w:rsid w:val="00B85A4B"/>
  </w:style>
  <w:style w:type="character" w:customStyle="1" w:styleId="jpfdse">
    <w:name w:val="jpfdse"/>
    <w:basedOn w:val="DefaultParagraphFont"/>
    <w:rsid w:val="00B85A4B"/>
  </w:style>
  <w:style w:type="paragraph" w:styleId="Caption">
    <w:name w:val="caption"/>
    <w:basedOn w:val="Normal"/>
    <w:next w:val="Normal"/>
    <w:uiPriority w:val="35"/>
    <w:unhideWhenUsed/>
    <w:qFormat/>
    <w:rsid w:val="00797E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076">
      <w:bodyDiv w:val="1"/>
      <w:marLeft w:val="0"/>
      <w:marRight w:val="0"/>
      <w:marTop w:val="0"/>
      <w:marBottom w:val="0"/>
      <w:divBdr>
        <w:top w:val="none" w:sz="0" w:space="0" w:color="auto"/>
        <w:left w:val="none" w:sz="0" w:space="0" w:color="auto"/>
        <w:bottom w:val="none" w:sz="0" w:space="0" w:color="auto"/>
        <w:right w:val="none" w:sz="0" w:space="0" w:color="auto"/>
      </w:divBdr>
    </w:div>
    <w:div w:id="1322735971">
      <w:bodyDiv w:val="1"/>
      <w:marLeft w:val="0"/>
      <w:marRight w:val="0"/>
      <w:marTop w:val="0"/>
      <w:marBottom w:val="0"/>
      <w:divBdr>
        <w:top w:val="none" w:sz="0" w:space="0" w:color="auto"/>
        <w:left w:val="none" w:sz="0" w:space="0" w:color="auto"/>
        <w:bottom w:val="none" w:sz="0" w:space="0" w:color="auto"/>
        <w:right w:val="none" w:sz="0" w:space="0" w:color="auto"/>
      </w:divBdr>
      <w:divsChild>
        <w:div w:id="1613170330">
          <w:marLeft w:val="0"/>
          <w:marRight w:val="0"/>
          <w:marTop w:val="0"/>
          <w:marBottom w:val="0"/>
          <w:divBdr>
            <w:top w:val="none" w:sz="0" w:space="0" w:color="auto"/>
            <w:left w:val="none" w:sz="0" w:space="0" w:color="auto"/>
            <w:bottom w:val="none" w:sz="0" w:space="0" w:color="auto"/>
            <w:right w:val="none" w:sz="0" w:space="0" w:color="auto"/>
          </w:divBdr>
          <w:divsChild>
            <w:div w:id="529758051">
              <w:marLeft w:val="0"/>
              <w:marRight w:val="0"/>
              <w:marTop w:val="0"/>
              <w:marBottom w:val="0"/>
              <w:divBdr>
                <w:top w:val="none" w:sz="0" w:space="0" w:color="auto"/>
                <w:left w:val="none" w:sz="0" w:space="0" w:color="auto"/>
                <w:bottom w:val="none" w:sz="0" w:space="0" w:color="auto"/>
                <w:right w:val="none" w:sz="0" w:space="0" w:color="auto"/>
              </w:divBdr>
              <w:divsChild>
                <w:div w:id="1070999490">
                  <w:marLeft w:val="0"/>
                  <w:marRight w:val="0"/>
                  <w:marTop w:val="0"/>
                  <w:marBottom w:val="0"/>
                  <w:divBdr>
                    <w:top w:val="none" w:sz="0" w:space="0" w:color="auto"/>
                    <w:left w:val="none" w:sz="0" w:space="0" w:color="auto"/>
                    <w:bottom w:val="none" w:sz="0" w:space="0" w:color="auto"/>
                    <w:right w:val="none" w:sz="0" w:space="0" w:color="auto"/>
                  </w:divBdr>
                </w:div>
                <w:div w:id="1292856439">
                  <w:marLeft w:val="0"/>
                  <w:marRight w:val="0"/>
                  <w:marTop w:val="0"/>
                  <w:marBottom w:val="0"/>
                  <w:divBdr>
                    <w:top w:val="none" w:sz="0" w:space="0" w:color="auto"/>
                    <w:left w:val="none" w:sz="0" w:space="0" w:color="auto"/>
                    <w:bottom w:val="none" w:sz="0" w:space="0" w:color="auto"/>
                    <w:right w:val="none" w:sz="0" w:space="0" w:color="auto"/>
                  </w:divBdr>
                </w:div>
                <w:div w:id="1075321479">
                  <w:marLeft w:val="0"/>
                  <w:marRight w:val="0"/>
                  <w:marTop w:val="0"/>
                  <w:marBottom w:val="0"/>
                  <w:divBdr>
                    <w:top w:val="none" w:sz="0" w:space="0" w:color="auto"/>
                    <w:left w:val="none" w:sz="0" w:space="0" w:color="auto"/>
                    <w:bottom w:val="none" w:sz="0" w:space="0" w:color="auto"/>
                    <w:right w:val="none" w:sz="0" w:space="0" w:color="auto"/>
                  </w:divBdr>
                </w:div>
                <w:div w:id="1497450762">
                  <w:marLeft w:val="0"/>
                  <w:marRight w:val="0"/>
                  <w:marTop w:val="0"/>
                  <w:marBottom w:val="0"/>
                  <w:divBdr>
                    <w:top w:val="none" w:sz="0" w:space="0" w:color="auto"/>
                    <w:left w:val="none" w:sz="0" w:space="0" w:color="auto"/>
                    <w:bottom w:val="none" w:sz="0" w:space="0" w:color="auto"/>
                    <w:right w:val="none" w:sz="0" w:space="0" w:color="auto"/>
                  </w:divBdr>
                </w:div>
              </w:divsChild>
            </w:div>
            <w:div w:id="812524622">
              <w:marLeft w:val="0"/>
              <w:marRight w:val="0"/>
              <w:marTop w:val="0"/>
              <w:marBottom w:val="0"/>
              <w:divBdr>
                <w:top w:val="none" w:sz="0" w:space="0" w:color="auto"/>
                <w:left w:val="none" w:sz="0" w:space="0" w:color="auto"/>
                <w:bottom w:val="none" w:sz="0" w:space="0" w:color="auto"/>
                <w:right w:val="none" w:sz="0" w:space="0" w:color="auto"/>
              </w:divBdr>
              <w:divsChild>
                <w:div w:id="1307204469">
                  <w:marLeft w:val="0"/>
                  <w:marRight w:val="0"/>
                  <w:marTop w:val="0"/>
                  <w:marBottom w:val="0"/>
                  <w:divBdr>
                    <w:top w:val="none" w:sz="0" w:space="0" w:color="auto"/>
                    <w:left w:val="none" w:sz="0" w:space="0" w:color="auto"/>
                    <w:bottom w:val="none" w:sz="0" w:space="0" w:color="auto"/>
                    <w:right w:val="none" w:sz="0" w:space="0" w:color="auto"/>
                  </w:divBdr>
                </w:div>
                <w:div w:id="1155990295">
                  <w:marLeft w:val="0"/>
                  <w:marRight w:val="0"/>
                  <w:marTop w:val="0"/>
                  <w:marBottom w:val="0"/>
                  <w:divBdr>
                    <w:top w:val="none" w:sz="0" w:space="0" w:color="auto"/>
                    <w:left w:val="none" w:sz="0" w:space="0" w:color="auto"/>
                    <w:bottom w:val="none" w:sz="0" w:space="0" w:color="auto"/>
                    <w:right w:val="none" w:sz="0" w:space="0" w:color="auto"/>
                  </w:divBdr>
                </w:div>
                <w:div w:id="123426523">
                  <w:marLeft w:val="0"/>
                  <w:marRight w:val="0"/>
                  <w:marTop w:val="0"/>
                  <w:marBottom w:val="0"/>
                  <w:divBdr>
                    <w:top w:val="none" w:sz="0" w:space="0" w:color="auto"/>
                    <w:left w:val="none" w:sz="0" w:space="0" w:color="auto"/>
                    <w:bottom w:val="none" w:sz="0" w:space="0" w:color="auto"/>
                    <w:right w:val="none" w:sz="0" w:space="0" w:color="auto"/>
                  </w:divBdr>
                </w:div>
                <w:div w:id="1892497231">
                  <w:marLeft w:val="0"/>
                  <w:marRight w:val="0"/>
                  <w:marTop w:val="0"/>
                  <w:marBottom w:val="0"/>
                  <w:divBdr>
                    <w:top w:val="none" w:sz="0" w:space="0" w:color="auto"/>
                    <w:left w:val="none" w:sz="0" w:space="0" w:color="auto"/>
                    <w:bottom w:val="none" w:sz="0" w:space="0" w:color="auto"/>
                    <w:right w:val="none" w:sz="0" w:space="0" w:color="auto"/>
                  </w:divBdr>
                </w:div>
                <w:div w:id="1497959052">
                  <w:marLeft w:val="0"/>
                  <w:marRight w:val="0"/>
                  <w:marTop w:val="0"/>
                  <w:marBottom w:val="0"/>
                  <w:divBdr>
                    <w:top w:val="none" w:sz="0" w:space="0" w:color="auto"/>
                    <w:left w:val="none" w:sz="0" w:space="0" w:color="auto"/>
                    <w:bottom w:val="none" w:sz="0" w:space="0" w:color="auto"/>
                    <w:right w:val="none" w:sz="0" w:space="0" w:color="auto"/>
                  </w:divBdr>
                </w:div>
                <w:div w:id="525485688">
                  <w:marLeft w:val="0"/>
                  <w:marRight w:val="0"/>
                  <w:marTop w:val="0"/>
                  <w:marBottom w:val="0"/>
                  <w:divBdr>
                    <w:top w:val="none" w:sz="0" w:space="0" w:color="auto"/>
                    <w:left w:val="none" w:sz="0" w:space="0" w:color="auto"/>
                    <w:bottom w:val="none" w:sz="0" w:space="0" w:color="auto"/>
                    <w:right w:val="none" w:sz="0" w:space="0" w:color="auto"/>
                  </w:divBdr>
                </w:div>
                <w:div w:id="1519005748">
                  <w:marLeft w:val="0"/>
                  <w:marRight w:val="0"/>
                  <w:marTop w:val="0"/>
                  <w:marBottom w:val="0"/>
                  <w:divBdr>
                    <w:top w:val="none" w:sz="0" w:space="0" w:color="auto"/>
                    <w:left w:val="none" w:sz="0" w:space="0" w:color="auto"/>
                    <w:bottom w:val="none" w:sz="0" w:space="0" w:color="auto"/>
                    <w:right w:val="none" w:sz="0" w:space="0" w:color="auto"/>
                  </w:divBdr>
                </w:div>
                <w:div w:id="1418751779">
                  <w:marLeft w:val="0"/>
                  <w:marRight w:val="0"/>
                  <w:marTop w:val="0"/>
                  <w:marBottom w:val="0"/>
                  <w:divBdr>
                    <w:top w:val="none" w:sz="0" w:space="0" w:color="auto"/>
                    <w:left w:val="none" w:sz="0" w:space="0" w:color="auto"/>
                    <w:bottom w:val="none" w:sz="0" w:space="0" w:color="auto"/>
                    <w:right w:val="none" w:sz="0" w:space="0" w:color="auto"/>
                  </w:divBdr>
                </w:div>
                <w:div w:id="3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galperin/2023-talent-analytics/blob/main/project/project-description.md"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uspto.gov/ip-policy/economic-research/research-datasets/patent-examination-research-dataset-public-pai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6749-D72F-46AC-A8AF-142E9843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McGill Main.dotx</Template>
  <TotalTime>32</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dit</dc:creator>
  <cp:lastModifiedBy>Emery Dittmer</cp:lastModifiedBy>
  <cp:revision>6</cp:revision>
  <dcterms:created xsi:type="dcterms:W3CDTF">2023-01-24T16:30:00Z</dcterms:created>
  <dcterms:modified xsi:type="dcterms:W3CDTF">2023-01-24T17:02:00Z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a18cfa92b25049b9fd11b843fc9cfaaf1ff51b6ec704e940c60b0333e301e4b9</vt:lpwstr>
  </property>
</Properties>
</file>