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before="0"/>
        <w:jc w:val="both"/>
      </w:pPr>
      <w:r>
        <w:rPr>
          <w:b/>
        </w:rPr>
        <w:t>SEÑOR NOTARIO:</w:t>
      </w:r>
    </w:p>
    <w:p>
      <w:pPr>
        <w:spacing w:after="120" w:before="0"/>
        <w:jc w:val="both"/>
      </w:pPr>
      <w:r>
        <w:t>En el protocolo de escrituras públicas a su cargo, sírvase insertar una de promesa de compraventa de acuerdo con las siguientes cláusulas:</w:t>
      </w:r>
    </w:p>
    <w:p>
      <w:pPr>
        <w:spacing w:after="120" w:before="120"/>
        <w:jc w:val="both"/>
      </w:pPr>
      <w:r>
        <w:rPr>
          <w:b/>
        </w:rPr>
        <w:t>PRIMERA.- COMPARECIENTES.- Comparecen a la celebración del presente contrato por una parte: {% for grupo in grupos_vendedores %}{% if grupo.es_empresa %}{% for p in grupo.personas %}{{ p.numero_numerico }}.- La compañía {{ p.razon_social }}, con RUC número {{ p.ruc_palabras }} ({{ p.ruc }}), debidamente representada por su {{ p.rep_cargo }}, {{ p.rep_articulo }} {{ p.rep_nombres_completos }}, de nacionalidad {{ p.rep_nacionalidad }}, con {{ p.rep_cedula_palabras }} ({{ p.rep_cedula }}), de {{ p.rep_edad }} años de edad, {{ p.rep_prof_ocup }}, con domicilio físico en {{ p.rep_direccion }}{% endfor %}{% else %}{% if grupo.tipo == 'conyuges' %}los cónyuges señores: {% endif %}{% for p in grupo.personas %}{{ p.numero_numerico }}.- {{ p.nombres_completos }}, de nacionalidad {{ p.nacionalidad }}, con cédula de ciudadanía número {{ p.cedula_palabras }} ({{ p.cedula }}), de {{ p.edad }} años de edad, de estado civil {{ p.estado_civil }}, de profesión {{ p.profesion }} y de ocupación {{ p.ocupacion }}, teléfono celular número {{ p.telefono_palabras }} ({{ p.telefono }}), con domicilio electrónico en el correo {{ p.email }}, por sus propios y personales derechos{% if not loop.last %}; y, {% endif %}{% endfor %}{% if grupo.tipo == 'conyuges' %}; ambos{% endif %} domiciliado{% if grupo.tipo == 'conyuges' %}s{% endif %} físicamente en {{ grupo.direccion }}{% endif %}{% if not loop.last %}; {% if grupos_vendedores[loop.index0].tipo == 'soltero' %}y, el señor: {% elif grupos_vendedores[loop.index0].es_empresa %}y, {% endif %}{% endif %}{% endfor %}, a quien se denominará la parte PROMITENTE VENDEDORA; y, por otra: {% for grupo in grupos_compradores %}{% if grupo.es_empresa %}{% for p in grupo.personas %}{{ p.numero_numerico }}.- La compañía {{ p.razon_social }}, con RUC número {{ p.ruc_palabras }} ({{ p.ruc }}), debidamente representada por su {{ p.rep_cargo }}, {{ p.rep_articulo }} {{ p.rep_nombres_completos }}, de nacionalidad {{ p.rep_nacionalidad }}, con {{ p.rep_cedula_palabras }} ({{ p.rep_cedula }}), de {{ p.rep_edad }} años de edad, {{ p.rep_prof_ocup }}, con domicilio físico en {{ p.rep_direccion }}{% endfor %}{% else %}{% if grupo.tipo == 'conyuges' %}los cónyuges señores: {% endif %}{% for p in grupo.personas %}{{ p.numero_numerico }}.- {{ p.nombres_completos }}, de nacionalidad {{ p.nacionalidad }}, con cédula de ciudadanía número {{ p.cedula_palabras }} ({{ p.cedula }}), de {{ p.edad }} años de edad, de estado civil {{ p.estado_civil }}, de profesión {{ p.profesion }} y de ocupación {{ p.ocupacion }}, teléfono celular número {{ p.telefono_palabras }} ({{ p.telefono }}), con domicilio electrónico en el correo {{ p.email }}, por sus propios y personales derechos{% if not loop.last %}; y, {% endif %}{% endfor %}{% if grupo.tipo == 'conyuges' %}; ambos{% endif %} domiciliado{% if grupo.tipo == 'conyuges' %}s{% endif %} físicamente en {{ grupo.direccion }}{% endif %}{% if not loop.last %}; {% if grupos_compradores[loop.index0].tipo == 'soltero' %}y, el señor: {% elif grupos_compradores[loop.index0].es_empresa %}y, {% endif %}{% endif %}{% endfor %}, a quien se denominará la parte PROMITENTE COMPRADORA.</w:t>
      </w:r>
    </w:p>
    <w:p>
      <w:pPr>
        <w:spacing w:after="120" w:before="120"/>
        <w:jc w:val="both"/>
      </w:pPr>
      <w:r>
        <w:rPr>
          <w:b/>
        </w:rPr>
        <w:t>SEGUNDA.- ANTECEDENTES.-</w:t>
      </w:r>
    </w:p>
    <w:p>
      <w:pPr>
        <w:spacing w:after="120" w:before="0"/>
        <w:jc w:val="both"/>
      </w:pPr>
      <w:r>
        <w:t>{% if es_horizontal %}</w:t>
        <w:br/>
        <w:t>2.1.- La parte PROMITENTE VENDEDORA es propietaria de los siguientes inmuebles: {% for predio in predios %}{% if predio.es_compuesto %}{% for inmueble in predio.inmuebles %}{% if inmueble.tipo == 'Otro' %}{{ inmueble.tipo_otro }}{% else %}{{ inmueble.tipo }}{% endif %} {{ inmueble.numero_palabras }}, {% if inmueble.esta_construido %}nivel {{ inmueble.nivel }}, {% endif %}{% if inmueble.area_cubierta %}área cubierta {{ inmueble.area_cubierta_palabras }} metros cuadrados, {% endif %}{% if inmueble.area_descubierta %}área descubierta {{ inmueble.area_descubierta_palabras }} metros cuadrados, {% endif %}{% if inmueble.esta_construido %}Alícuota parcial {{ inmueble.alicuota_parcial_palabras }} por ciento; {% endif %}{% endfor %}{% if predio.inmuebles | selectattr('esta_construido') | list %}Alícuota total {{ predio.alicuota_total_palabras }} por ciento; {% endif %}{% else %}{% if predio.tipo == 'Otro' %}{{ predio.tipo_otro }}{% else %}{{ predio.tipo }}{% endif %} {{ predio.numero_palabras }}, {% if predio.inmuebles[0].esta_construido %}nivel {{ predio.inmuebles[0].nivel }}, {% endif %}{% if predio.inmuebles[0].area_cubierta %}área cubierta {{ predio.inmuebles[0].area_cubierta_palabras }} metros cuadrados, {% endif %}{% if predio.inmuebles[0].area_descubierta %}área descubierta {{ predio.inmuebles[0].area_descubierta_palabras }} metros cuadrados, {% endif %}{% if predio.inmuebles[0].esta_construido %}Alícuota parcial {{ predio.inmuebles[0].alicuota_parcial_palabras }} por ciento, Alícuota total {{ predio.alicuota_total_palabras }} por ciento; {% endif %}{% endif %}{% endfor %}del {{ nombre_conjunto }}, construido en el {{ ubicacion.lote }} número {{ ubicacion.numero_palabras }}, situado en la parroquia {{ ubicacion.parroquia }}, cantón {{ ubicacion.canton }}, Provincia de {{ ubicacion.provincia }}.</w:t>
        <w:br/>
        <w:t>{% else %}</w:t>
        <w:br/>
        <w:t>2.1.- La parte PROMITENTE VENDEDORA es propietaria del {{ bien_comun.tipo_bien_comun_texto }} ({{ bien_comun.tipo_bien_comun }}{% if bien_comun.tipo_bien_comun == 'otro' %}: {{ bien_comun.tipo_bien_comun_otro }}{% endif %}), ubicado en la calle {{ ubicacion.lote }} número {{ ubicacion.numero_palabras }}, parroquia {{ ubicacion.parroquia }}, cantón {{ ubicacion.canton }}, Provincia de {{ ubicacion.provincia }}{% if bien_comun.superficie_bien_comun %}, con una superficie de {{ bien_comun.superficie_bien_comun }} metros cuadrados{% endif %}, en donde se encuentra {% if bien_comun.descripcion_bien_comun %}{{ bien_comun.descripcion_bien_comun }}.{% else %}construyendo el inmueble objeto de este contrato.{% endif %}</w:t>
        <w:br/>
        <w:t>{% endif %}</w:t>
      </w:r>
    </w:p>
    <w:p>
      <w:pPr>
        <w:spacing w:after="120" w:before="0"/>
        <w:jc w:val="both"/>
      </w:pPr>
      <w:r>
        <w:t>{% if historia_manual %}</w:t>
        <w:br/>
        <w:t>2.2.- {{ historia_texto|richtext }}</w:t>
        <w:br/>
        <w:t>{% else %}</w:t>
        <w:br/>
        <w:t>2.2.- Las referidas {% if es_horizontal %}alícuotas fueron{% else %}propiedades fueron{% endif %} adquiridas por la parte PROMITENTE VENDEDORA a título de {{ historia.titulo_texto }}{% if historia.titulo == 'otro' %} {{ historia.titulo_otro }}{% endif %}, {% if historia.titulo != 'sucesion' %}a {{ historia.adquirido_de }}, {% else %}por sucesión a causa de muerte del causante {{ historia.nombre_causante }}, mediante {{ historia.tipo_sucesion_texto }}, {% endif %}según consta de la escritura pública celebrada el {{ historia.fecha_otorgamiento }}, ante la Notaría {{ historia.numero_notaria_palabras }} del cantón {{ historia.canton_notaria }}, {{ historia.notario }}, inscrita en el Registro de la Propiedad el {{ historia.fecha_inscripcion }}{% if historia.mismo_canton %}, del mismo cantón{% elif historia.canton_inscripcion %}, del cantón {{ historia.canton_inscripcion }}{% endif %}.{% if historia.es_sucesion %} Por su parte, el causante adquirió la propiedad por {{ historia.causante_titulo_texto }}{% if historia.causante_titulo == 'otro' %} {{ historia.causante_titulo_otro }}{% endif %} a {{ historia.causante_adquirido_de }}, según consta de la escritura pública otorgada el {{ historia.causante_fecha_otorgamiento }}, ante la Notaría {{ historia.causante_numero_notaria_palabras }} del cantón {{ historia.causante_canton_notaria }}, {{ historia.causante_notario }}, e inscrita en el Registro de la Propiedad el {{ historia.causante_fecha_inscripcion }}{% if historia.causante_mismo_canton %}, del mismo cantón{% elif historia.causante_canton_inscripcion %}, del cantón {{ historia.causante_canton_inscripcion }}{% endif %}.{% endif %}</w:t>
        <w:br/>
        <w:t>{% if historia.aclaratorias %}{% for aclaratoria in historia.aclaratorias %}</w:t>
      </w:r>
    </w:p>
    <w:p>
      <w:pPr>
        <w:spacing w:after="120" w:before="0"/>
        <w:jc w:val="both"/>
      </w:pPr>
      <w:r>
        <w:t>2.2.{{ loop.index }}.- El instrumento en referencia fue objeto de aclaratoria{% if aclaratoria.titulo %} por {{ aclaratoria.titulo_texto }}{% if aclaratoria.titulo == 'otro' %} {{ aclaratoria.titulo_otro }}{% endif %}{% if aclaratoria.adquirido_de %} a {{ aclaratoria.adquirido_de }}{% endif %}{% endif %}, según consta de la escritura pública celebrada el {{ aclaratoria.fecha_otorgamiento }}, ante el notario {{ aclaratoria.numero_notaria }} del cantón {{ aclaratoria.canton_notaria }}, {{ aclaratoria.notario }}, inscrita en el Registro de la Propiedad el {{ aclaratoria.fecha_inscripcion }}{% if aclaratoria.mismo_canton %}, del mismo cantón{% elif aclaratoria.canton_inscripcion %}, del cantón {{ aclaratoria.canton_inscripcion }}{% endif %}.{% if aclaratoria.aclaratorias %}{% for sub in aclaratoria.aclaratorias %}</w:t>
      </w:r>
    </w:p>
    <w:p>
      <w:pPr>
        <w:spacing w:after="120" w:before="0"/>
        <w:jc w:val="both"/>
      </w:pPr>
      <w:r>
        <w:t>2.2.{{ loop.index }}.{{ loop.index }}.- El instrumento en referencia fue objeto de aclaratoria, según consta de la escritura pública celebrada el {{ sub.fecha_otorgamiento }}, ante el notario {{ sub.numero_notaria }} del cantón {{ sub.canton_notaria }}, {{ sub.notario }}, inscrita en el Registro de la Propiedad el {{ sub.fecha_inscripcion }}{% if sub.mismo_canton %}, del mismo cantón{% elif sub.canton_inscripcion %}, del cantón {{ sub.canton_inscripcion }}{% endif %}.{% endfor %}{% endif %}{% endfor %}{% endif %}</w:t>
        <w:br/>
        <w:t>{% endif %}</w:t>
      </w:r>
    </w:p>
    <w:p>
      <w:pPr>
        <w:spacing w:after="120" w:before="0"/>
        <w:jc w:val="both"/>
      </w:pPr>
      <w:r>
        <w:t>{% if es_horizontal %}</w:t>
        <w:br/>
        <w:t>{% if hay_declaratoria %}</w:t>
        <w:br/>
        <w:t>{% if declaratoria_manual %}</w:t>
        <w:br/>
        <w:t>3.- {{ declaratoria_texto|richtext }}</w:t>
        <w:br/>
        <w:t>{% else %}</w:t>
        <w:br/>
        <w:t>3.- La declaratoria de propiedad horizontal del {{ nombre_conjunto }}, consta en la escritura pública celebrada el {{ declaratoria.fecha_otorgamiento }}, ante {% if declaratoria.notario %}{{ declaratoria.notario }}, Notaría {% else %}Notaría {% endif %}{{ declaratoria.numero_notaria_palabras }} del cantón {{ declaratoria.canton_notaria }}, inscrita en el Registro de la Propiedad el {{ declaratoria.fecha_inscripcion }}{% if declaratoria.mismo_canton %}, del mismo cantón{% elif declaratoria.canton_inscripcion %}, del cantón {{ declaratoria.canton_inscripcion }}{% endif %}.{% if declaratoria.aclaratorias %}{% for aclaratoria in declaratoria.aclaratorias %}</w:t>
      </w:r>
    </w:p>
    <w:p>
      <w:pPr>
        <w:spacing w:after="120" w:before="0"/>
        <w:jc w:val="both"/>
      </w:pPr>
      <w:r>
        <w:t>3.{{ loop.index }}.- La declaratoria fue objeto de aclaratoria, según consta de la escritura pública celebrada el {{ aclaratoria.fecha_otorgamiento }}, ante el notario {{ aclaratoria.numero_notaria }} del cantón {{ aclaratoria.canton_notaria }}, {{ aclaratoria.notario }}, inscrita en el Registro de la Propiedad el {{ aclaratoria.fecha_inscripcion }}{% if aclaratoria.mismo_canton %}, del mismo cantón{% elif aclaratoria.canton_inscripcion %}, del cantón {{ aclaratoria.canton_inscripcion }}{% endif %}.{% endfor %}{% endif %}</w:t>
        <w:br/>
        <w:t>{% endif %}</w:t>
        <w:br/>
        <w:t>{% else %}</w:t>
        <w:br/>
        <w:t>3.- La declaratoria de propiedad horizontal del {{ nombre_conjunto }} se encuentra en proceso de tramitación y será otorgada una vez que se concluya el proceso constructivo, conforme a las autorizaciones municipales pertinentes y planos aprobados.</w:t>
        <w:br/>
        <w:t>{% endif %}</w:t>
      </w:r>
    </w:p>
    <w:p>
      <w:pPr>
        <w:spacing w:after="120" w:before="0"/>
        <w:jc w:val="both"/>
      </w:pPr>
      <w:r>
        <w:t>4.- El {{ nombre_conjunto }}, se encuentra construido sobre el {{ ubicacion.lote }} número {{ ubicacion.numero_palabras }}, ubicado dentro de los siguientes linderos y dimensiones generales: POR EL NORTE.- En {{ linderos.norte_metros_palabras }} metros, con {{ linderos.norte_colindancia }}; POR EL SUR.- En {{ linderos.sur_metros_palabras }} metros, con {{ linderos.sur_colindancia }}; POR EL ESTE.- En {{ linderos.este_metros_palabras }} metros, con {{ linderos.este_colindancia }}; y, POR EL OESTE.- En {{ linderos.oeste_metros_palabras }} metros, con {{ linderos.oeste_colindancia }}. SUPERFICIE.- {{ linderos.superficie_palabras }} metros cuadrados. Los demás antecedentes de dominio constan detallados en el certificado de gravámenes del inmueble que se habilita.</w:t>
        <w:br/>
        <w:t>{% else %}</w:t>
        <w:br/>
        <w:t>3.- El inmueble se encuentra ubicado dentro de los siguientes linderos y dimensiones generales: POR EL NORTE.- En {{ linderos.norte_metros_palabras }} metros, con {{ linderos.norte_colindancia }}; POR EL SUR.- En {{ linderos.sur_metros_palabras }} metros, con {{ linderos.sur_colindancia }}; POR EL ESTE.- En {{ linderos.este_metros_palabras }} metros, con {{ linderos.este_colindancia }}; y, POR EL OESTE.- En {{ linderos.oeste_metros_palabras }} metros, con {{ linderos.oeste_colindancia }}. SUPERFICIE.- {{ linderos.superficie_palabras }} metros cuadrados. Los demás antecedentes de dominio constan detallados en el certificado de gravámenes del inmueble que se habilita.</w:t>
        <w:br/>
        <w:t>{% endif %}</w:t>
      </w:r>
    </w:p>
    <w:p>
      <w:pPr>
        <w:spacing w:after="120" w:before="0"/>
        <w:jc w:val="both"/>
      </w:pPr>
      <w:r>
        <w:t>{% if tiene_linderos_especificos %}</w:t>
        <w:br/>
        <w:t>5.- Los linderos y dimensiones específicos o particulares de los inmuebles objeto de la presente promesa de compraventa son los siguientes: POR EL NORTE.- En {{ linderos_especificos.norte_metros_palabras }} metros, con {{ linderos_especificos.norte_colindancia }}; POR EL SUR.- En {{ linderos_especificos.sur_metros_palabras }} metros, con {{ linderos_especificos.sur_colindancia }}; POR EL ESTE.- En {{ linderos_especificos.este_metros_palabras }} metros, con {{ linderos_especificos.este_colindancia }}; POR EL OESTE.- En {{ linderos_especificos.oeste_metros_palabras }} metros, con {{ linderos_especificos.oeste_colindancia }}; POR ARRIBA.- En {{ linderos_especificos.arriba_metros_palabras }} metros, con {{ linderos_especificos.arriba_colindancia }}; y, POR ABAJO.- En {{ linderos_especificos.abajo_metros_palabras }} metros, con {{ linderos_especificos.abajo_colindancia }}. SUPERFICIE.- {{ linderos_especificos.superficie_palabras }} metros cuadrados.</w:t>
      </w:r>
    </w:p>
    <w:p>
      <w:pPr>
        <w:spacing w:after="120" w:before="0"/>
        <w:jc w:val="both"/>
      </w:pPr>
      <w:r>
        <w:t>{% if es_horizontal %}6{% else %}5{% endif %}.- En caso de presentarse en este instrumento un error de transcripción, las partes determinan como correctos y valederos los linderos y superficies constantes en el título de dominio del cual deriva.</w:t>
        <w:br/>
        <w:t>{% else %}</w:t>
        <w:br/>
        <w:t>{% if es_horizontal %}5{% else %}4{% endif %}.- En caso de presentarse en este instrumento un error de transcripción, las partes determinan como correctos y valederos los linderos y superficies constantes en el título de dominio del cual deriva.</w:t>
        <w:br/>
        <w:t>{% endif %}</w:t>
      </w:r>
    </w:p>
    <w:p>
      <w:pPr>
        <w:spacing w:after="120" w:before="120"/>
        <w:jc w:val="both"/>
      </w:pPr>
      <w:r>
        <w:rPr>
          <w:b/>
        </w:rPr>
        <w:t>TERCERA.- PROMESA DE COMPRAVENTA.- Con los antecedentes expuestos, la parte PROMITENTE VENDEDORA promete, actual e irrevocablemente, dar en venta real y perpetua enajenación a favor de la parte PROMITENTE COMPRADORA{% if es_horizontal %} las alícuotas descritas y singularizadas en la cláusula anterior del {{ nombre_conjunto }}, construido en el {{ ubicacion.lote }} número {{ ubicacion.numero_palabras }}, situado en la parroquia {{ ubicacion.parroquia }}, cantón {{ ubicacion.canton }}, Provincia de {{ ubicacion.provincia }}{% else %} el inmueble descrito y singularizado en la cláusula anterior{% endif %}. La venta y transferencia de dominio se hará con todas las entradas, salidas, usos, costumbres, servidumbres activas y pasivas y todo cuanto por Ley se considere inmueble por destinación, accesión o naturaleza que sean inherentes a {% if es_horizontal %}las alícuotas{% else %}el inmueble{% endif %} cuya propiedad se prometen transferir y siempre y cuando se cumplan con las condiciones detalladas en este contrato.</w:t>
      </w:r>
    </w:p>
    <w:p>
      <w:pPr>
        <w:spacing w:after="120" w:before="120"/>
        <w:jc w:val="both"/>
      </w:pPr>
      <w:r>
        <w:rPr>
          <w:b/>
        </w:rPr>
        <w:t>CUARTA.- PRECIO Y FORMA DE PAGO.- {% if precio_manual %}{{ precio_texto|richtext }}{% else %}El precio de venta {% if es_horizontal %}de las alícuotas{% else %}del inmueble{% endif %} antes descrito es de {{ precio.total_palabras }} DÓLARES DE LOS ESTADOS UNIDOS DE AMÉRICA (${{ precio.total }} USD), que la parte PROMITENTE COMPRADORA cancelará a la parte PROMITENTE VENDEDORA, de la siguiente forma: {% for parte in precio.partes %}{{ loop.index }}. {% if parte.es_cuotas %}La suma de {{ parte.monto_palabras }}, pagaderos en {{ parte.numero_cuotas_palabras }} cuotas {{ parte.periodicidad }}s de {{ parte.valor_cuota_palabras }} cada una, mediante {{ parte.medio_pago_texto }}{% if parte.es_credito %}, con fondos provenientes del crédito hipotecario otorgado por {{ parte.nombre_banco }}, valores que se acreditarán a {{ parte.cuenta_destino }}{% endif %};{% else %}La suma de {{ parte.monto_palabras }}, {% if parte.momento_pago == 'ya_pagado' %}fue cancelada en forma previa a la suscripción de la presente escritura pública, valor que la parte PROMITENTE VENDEDORA declara recibido a plena satisfacción{% elif parte.momento_pago == 'al_firmar' %}se cancela a la firma de la presente escritura pública{% elif parte.momento_pago == 'despues_inscribir' %}se cancelará inmediatamente después de que se inscriba el presente título en el Registro de la Propiedad{% else %}{{ parte.momento_otro }}{% endif %}, mediante {{ parte.medio_pago_texto }}{% if parte.medio_pago == 'cheque' %} {{ parte.tipo_cheque_texto }}{% endif %}{% if parte.tiene_detalle %}, {% if parte.medio_pago == 'transferencia' %}desde la cuenta {{ parte.detalle.tipo_cuenta_origen_texto }} número {{ parte.detalle.cuenta_origen }} del {{ parte.detalle.banco_origen }}, a la cuenta {{ parte.detalle.tipo_cuenta_destino_texto }} número {{ parte.detalle.cuenta_destino }} del {{ parte.detalle.banco_destino }}, valor que una vez acreditado quedará plenamente recibido{% elif parte.medio_pago == 'deposito' %}a la cuenta {{ parte.detalle.tipo_cuenta_destino_texto }} número {{ parte.detalle.cuenta_destino }} del {{ parte.detalle.banco_destino }}, valor que una vez acreditado quedará plenamente recibido{% endif %}{% endif %}{% if parte.es_credito %}, con fondos provenientes del crédito hipotecario otorgado por {{ parte.nombre_banco }}, valores que se acreditarán a {{ parte.cuenta_destino }}{% endif %};{% endif %} {% if not loop.last %}y, {% endif %}{% endfor %} La parte PROMITENTE COMPRADORA declara bajo juramento que los valores que entrega en pago del precio fijado tienen un origen lícito y en especial no provienen de ninguna actividad prohibida o sancionada por la Ley.{% endif %}</w:t>
      </w:r>
    </w:p>
    <w:p>
      <w:pPr>
        <w:spacing w:after="120" w:before="120"/>
        <w:jc w:val="both"/>
      </w:pPr>
      <w:r>
        <w:rPr>
          <w:b/>
        </w:rPr>
        <w:t>QUINTA.- PLAZO.-</w:t>
      </w:r>
    </w:p>
    <w:p>
      <w:pPr>
        <w:spacing w:after="120" w:before="0"/>
        <w:jc w:val="both"/>
      </w:pPr>
      <w:r>
        <w:t>5.1.- La escritura definitiva de compraventa se firmará {% if plazo.es_fecha_fija %}el {{ plazo.fecha_fija_texto }}{% else %}en el plazo de {{ plazo.duracion_texto }} contados a partir de la fecha de firma de la presente promesa{% endif %}, siempre y cuando la parte PROMITENTE COMPRADORA cancele la totalidad del precio en la forma establecida en la anterior cláusula.{% if plazo.con_prorroga %} Si por cualquier circunstancia justificable, la parte PROMITENTE COMPRADORA incurriere en algún tipo de retraso, el plazo aquí determinado podrá prorrogarse máximo hasta el {{ plazo.fecha_prorroga_texto }}.{% endif %}</w:t>
      </w:r>
    </w:p>
    <w:p>
      <w:pPr>
        <w:spacing w:after="120" w:before="0"/>
        <w:jc w:val="both"/>
      </w:pPr>
      <w:r>
        <w:t>5.2.- Si la parte PROMITENTE COMPRADORA logra disponer de los fondos suficientes para pagar el saldo del precio y la parte PROMITENTE VENDEDORA tiene listo el inmueble para entrega, las escrituras definitivas podrán suscribirse antes del plazo fijado en este instrumento.</w:t>
      </w:r>
    </w:p>
    <w:p>
      <w:pPr>
        <w:spacing w:after="120" w:before="120"/>
        <w:jc w:val="both"/>
      </w:pPr>
      <w:r>
        <w:rPr>
          <w:b/>
        </w:rPr>
        <w:t>SEXTA.- SANEAMIENTO.- La parte PROMITENTE VENDEDORA declara que sobre el inmueble objeto de este contrato no pesa condición suspensiva ni resolutoria, que no es motivo de acciones rescisorias, reivindicatorias, posesorias o de petición de herencia, que se halla libre de juicios, embargos, prohibiciones de enajenar o gravamen de ninguna naturaleza que limite su dominio, conforme se desprende del certificado de hipotecas y gravámenes que debidamente convalidado se agrega como habilitante. No obstante, la parte PROMITENTE VENDEDORA responderá por la evicción y por los vicios ocultos y redhibitorios que se le puedan imputar. La transferencia de dominio del inmueble se hará como cuerpo cierto y singularizado, con todas sus entradas, salidas, usos, costumbres, servidumbres activas y pasivas, y todo cuanto por Ley se considere inmueble por destinación, accesión o naturaleza.</w:t>
      </w:r>
    </w:p>
    <w:p>
      <w:pPr>
        <w:spacing w:after="120" w:before="120"/>
        <w:jc w:val="both"/>
      </w:pPr>
      <w:r>
        <w:rPr>
          <w:b/>
        </w:rPr>
        <w:t>SÉPTIMA.- CLÁUSULA PENAL.- Las partes estipulan como multa {% if clausula_penal.tipo == 'monto_fijo' %}la suma de {{ clausula_penal.monto_fijo_palabras }} DÓLARES DE LOS ESTADOS UNIDOS DE AMÉRICA (${{ clausula_penal.monto_fijo }} USD){% else %}el {{ clausula_penal.porcentaje }}% del precio fijado por el inmueble, esto es, la suma de {{ clausula_penal.monto_calculado_palabras }} DÓLARES DE LOS ESTADOS UNIDOS DE AMÉRICA (${{ clausula_penal.monto_calculado }} USD){% endif %}, valor que será pagado por la parte que incumpla el presente contrato. Para el efecto, se considerará incumplimiento de la parte PROMITENTE COMPRADORA si, una vez cumplido el plazo para la suscripción de las escrituras definitivas, no lo hacen o no pagan el saldo del precio conforme a la cláusula cuarta precedente; mientras que, se considerará incumplimiento de la parte PROMITENTE VENDEDORA si, una vez cumplido el plazo, no suscribiere las escrituras definitivas o se negare o no pudiere suscribirlas por cualquier motivo que no sea la falta de pago.</w:t>
      </w:r>
    </w:p>
    <w:p>
      <w:pPr>
        <w:spacing w:after="120" w:before="0"/>
        <w:jc w:val="both"/>
      </w:pPr>
      <w:r>
        <w:t>{% if hay_condicion_resolutoria %}</w:t>
        <w:br/>
        <w:t>OCTAVA.- CONDICIÓN RESOLUTORIA, INCUMPLIMIENTO Y EJECUCIÓN.-</w:t>
      </w:r>
    </w:p>
    <w:p>
      <w:pPr>
        <w:spacing w:after="120" w:before="0"/>
        <w:jc w:val="both"/>
      </w:pPr>
      <w:r>
        <w:t>8.1.- Las partes acuerdan como condición resolutoria a cumplir en forma positiva por la parte PROMITENTE COMPRADORA el pago del saldo del precio dentro del plazo aquí determinado{% if plazo.con_prorroga %} o dentro de su prórroga también aquí definida{% endif %}. Por tal motivo, en el caso de que esta condición no se cumpla dentro del plazo {% if plazo.con_prorroga %}y prórroga máxima definida{% else %}máximo definido{% endif %}, inmediatamente la obligación de venta que tiene la parte PROMITENTE VENDEDORA a favor de la parte PROMITENTE COMPRADORA queda insubsistente y, por el contrario, sin necesidad de otorgar resciliación alguna, podrá gestionar la venta a un nuevo promitente comprador, sin perjuicio de realizar las acciones pertinentes para el cobro de la multa a la que tiene derecho en caso de que no pueda descontarla de los anticipos abonados.</w:t>
      </w:r>
    </w:p>
    <w:p>
      <w:pPr>
        <w:spacing w:after="120" w:before="0"/>
        <w:jc w:val="both"/>
      </w:pPr>
      <w:r>
        <w:t>8.2.- Por el contrario, si la parte PROMITENTE COMPRADORA dispone de los fondos suficientes para cubrir el saldo del precio{% if plazo.con_prorroga %}, asegurar su pago o simplemente ya lo canceló{% endif %}, la parte PROMITENTE VENDEDORA, por ningún concepto podrá retractarse de su obligación y, además de ser forzada a enajenarlo a favor de la parte PROMITENTE COMPRADORA, se le imputará la penalidad determinada en la cláusula anterior, valor que podrá descontarse del saldo del precio.</w:t>
      </w:r>
    </w:p>
    <w:p>
      <w:pPr>
        <w:spacing w:after="120" w:before="0"/>
        <w:jc w:val="both"/>
      </w:pPr>
      <w:r>
        <w:t>8.3.- En el caso de que los incumplidores en el pago del saldo del precio sean la parte PROMITENTE COMPRADORA y de haber realizado abonos que superen la penalidad determinada en la anterior cláusula, la parte PROMITENTE VENDEDORA repondrá en su favor los valores que excedan la multa, una vez que se logre vender el inmueble objeto de este contrato a favor de una tercera persona en un precio que no será inferior al determinado en este contrato.</w:t>
      </w:r>
    </w:p>
    <w:p>
      <w:pPr>
        <w:spacing w:after="120" w:before="0"/>
        <w:jc w:val="both"/>
      </w:pPr>
      <w:r>
        <w:t>8.4.- Por el contrario, en el evento de que el incumplidor fuere la parte PROMITENTE VENDEDORA, quien por cualquier circunstancia se negare a suscribir la escritura a favor de la parte PROMITENTE COMPRADORA, se acuerda como obligación ineludible de hacer la suscripción de las escrituras de compraventa definitivas, las cuales, de no otorgarse voluntariamente por culpa del tradente, generan el derecho a favor de la parte PROMITENTE COMPRADORA para que ejecuten directamente el contrato por medio de un juez de lo civil de Pichincha, con jurisdicción en el Distrito Metropolitano de Quito, autoridad que suscribirá las escrituras definitivas de compraventa a su favor, recibiendo{% if plazo.con_prorroga %} de haberlo{% endif %} el saldo del precio que permanecerá a disposición de la parte PROMITENTE VENDEDORA en las cuentas del juzgado y descontará el valor de la penalidad aquí determinada.</w:t>
      </w:r>
    </w:p>
    <w:p>
      <w:pPr>
        <w:spacing w:after="120" w:before="120"/>
        <w:jc w:val="both"/>
      </w:pPr>
      <w:r>
        <w:rPr>
          <w:b/>
        </w:rPr>
        <w:t>NOVENA.- GASTOS.- Los gastos que demande la celebración de la presente escritura pública, al igual que aquellos que se generen por las escrituras de compraventa definitivas, serán de cuenta de la parte PROMITENTE COMPRADORA, a excepción del impuesto a la plusvalía que, de haberlo, será de cuenta de la parte PROMITENTE VENDEDORA.</w:t>
      </w:r>
    </w:p>
    <w:p>
      <w:pPr>
        <w:spacing w:after="120" w:before="120"/>
        <w:jc w:val="both"/>
      </w:pPr>
      <w:r>
        <w:rPr>
          <w:b/>
        </w:rPr>
        <w:t>DÉCIMA.- DOCUMENTACIÓN.- La parte PROMITENTE VENDEDORA entregará a la parte PROMITENTE COMPRADORA para el otorgamiento de las escrituras definitivas de compraventa el certificado de hipotecas y gravámenes del inmueble que acredita que la propiedad está libre y puede ser enajenada, conjuntamente con el comprobante del pago del impuesto predial del año de vencimiento del plazo. Adicionalmente, en esa fecha, entregará copia certificada de las escrituras de propiedad del inmueble con la razón de inscripción pertinente. Las partes quedan autorizadas mutuamente a gestionar el proceso de catastro de la transferencia de dominio una vez que se cumplan con los plazos y condiciones estipulados en el presente contrato.</w:t>
      </w:r>
    </w:p>
    <w:p>
      <w:pPr>
        <w:spacing w:after="120" w:before="120"/>
        <w:jc w:val="both"/>
      </w:pPr>
      <w:r>
        <w:rPr>
          <w:b/>
        </w:rPr>
        <w:t>DÉCIMA PRIMERA.- SOLUCIÓN DE CONTROVERSIAS Y CLÁUSULA ARBITRAL.- Las partes, en caso de controversias diferentes a los mecanismos de resolución y ejecución previstos en la cláusula octava de este instrumento, renuncian fuero, domicilio y a la jurisdicción ordinaria, sometiéndose a las siguientes formas de solución:</w:t>
      </w:r>
    </w:p>
    <w:p>
      <w:pPr>
        <w:spacing w:after="120" w:before="0"/>
        <w:jc w:val="both"/>
      </w:pPr>
      <w:r>
        <w:t>1. La conversación directa entre las partes que permita solucionar las controversias a través de la transacción.</w:t>
      </w:r>
    </w:p>
    <w:p>
      <w:pPr>
        <w:spacing w:after="120" w:before="0"/>
        <w:jc w:val="both"/>
      </w:pPr>
      <w:r>
        <w:t>2. La Mediación ante cualquier centro habilitado para el efecto dentro de la ciudad de Quito, a elección de la parte actora.</w:t>
      </w:r>
    </w:p>
    <w:p>
      <w:pPr>
        <w:spacing w:after="120" w:before="0"/>
        <w:jc w:val="both"/>
      </w:pPr>
      <w:r>
        <w:t>3. De no llegarse a acuerdos aplicando los medios indicados y continuar con la controversia, los contratantes acuerdan someterse al Arbitraje, procedimiento que podrá ser iniciado por cualquiera de las partes, y se ventilará ante cualquier centro habilitado para el efecto dentro de la ciudad de Quito, a elección de la parte actora, sometiéndose desde ya al reglamento que disponga el centro escogido. El arbitraje se sustanciará con la intervención de un solo Juez Árbitro, quien será elegido por sorteo y que queda expresamente facultado por las partes para adoptar las medidas cautelares que procedan de acuerdo con la ley de Arbitraje y Mediación. El árbitro que sustancie cualquier controversia derivada del presente contrato queda plenamente facultado para emitir el laudo que corresponda e impondrá la multa pertinente. El arbitraje será en derecho y las partes expresamente renuncian a interponer cualquier recurso del laudo arbitral.</w:t>
      </w:r>
    </w:p>
    <w:p>
      <w:pPr>
        <w:spacing w:after="120" w:before="0"/>
        <w:jc w:val="both"/>
      </w:pPr>
      <w:r>
        <w:t>{% if propiedad_intelectual %}</w:t>
        <w:br/>
        <w:t>DÉCIMA SEGUNDA.- ACEPTACIÓN.- Las partes contratantes declaran expresamente que aceptan el total contenido de las cláusulas que anteceden por estar elaboradas en seguridad de sus respectivos intereses y reconocen que la propiedad intelectual de la presente minuta pertenece a {% if propiedad_intelectual.genero_abogado == 'femenino' %}la abogada{% else %}el abogado{% endif %} {{ propiedad_intelectual.nombre_abogado }}, quien autoriza su utilización con su patrocinio únicamente para el otorgamiento del presente instrumento; en consecuencia, por ningún concepto quienes llegaren a conocer de este contenido por cualquier motivo y, en particular las partes que otorgan la presente promesa, están prohibidos de utilizarla para contratos similares sin la autorización de su autor{% if propiedad_intelectual.genero_abogado == 'femenino' %}a{% endif %}.</w:t>
        <w:br/>
        <w:t>{% else %}</w:t>
        <w:br/>
        <w:t>DÉCIMA SEGUNDA.- ACEPTACIÓN.- Las partes contratantes declaran expresamente que aceptan el total contenido de las cláusulas que anteceden por estar elaboradas en seguridad de sus respectivos intereses.</w:t>
        <w:br/>
        <w:t>{% endif %}</w:t>
      </w:r>
    </w:p>
    <w:p>
      <w:pPr>
        <w:spacing w:after="120" w:before="0"/>
        <w:jc w:val="both"/>
      </w:pPr>
      <w:r>
        <w:t>{% else %}</w:t>
      </w:r>
    </w:p>
    <w:p>
      <w:pPr>
        <w:spacing w:after="120" w:before="120"/>
        <w:jc w:val="both"/>
      </w:pPr>
      <w:r>
        <w:rPr>
          <w:b/>
        </w:rPr>
        <w:t>OCTAVA.- GASTOS.- Los gastos que demande la celebración de la presente escritura pública, al igual que aquellos que se generen por las escrituras de compraventa definitivas, serán de cuenta de la parte PROMITENTE COMPRADORA, a excepción del impuesto a la plusvalía que, de haberlo, será de cuenta de la parte PROMITENTE VENDEDORA.</w:t>
      </w:r>
    </w:p>
    <w:p>
      <w:pPr>
        <w:spacing w:after="120" w:before="120"/>
        <w:jc w:val="both"/>
      </w:pPr>
      <w:r>
        <w:rPr>
          <w:b/>
        </w:rPr>
        <w:t>NOVENA.- DOCUMENTACIÓN.- La parte PROMITENTE VENDEDORA entregará a la parte PROMITENTE COMPRADORA para el otorgamiento de las escrituras definitivas de compraventa el certificado de hipotecas y gravámenes del inmueble que acredita que la propiedad está libre y puede ser enajenada, conjuntamente con el comprobante del pago del impuesto predial del año de vencimiento del plazo. Adicionalmente, en esa fecha, entregará copia certificada de las escrituras de propiedad del inmueble con la razón de inscripción pertinente. Las partes quedan autorizadas mutuamente a gestionar el proceso de catastro de la transferencia de dominio una vez que se cumplan con los plazos y condiciones estipulados en el presente contrato.</w:t>
      </w:r>
    </w:p>
    <w:p>
      <w:pPr>
        <w:spacing w:after="120" w:before="120"/>
        <w:jc w:val="both"/>
      </w:pPr>
      <w:r>
        <w:rPr>
          <w:b/>
        </w:rPr>
        <w:t>DÉCIMA.- SOLUCIÓN DE CONTROVERSIAS Y CLÁUSULA ARBITRAL.- Las partes, en caso de controversias renuncian fuero, domicilio y a la jurisdicción ordinaria, sometiéndose a las siguientes formas de solución:</w:t>
      </w:r>
    </w:p>
    <w:p>
      <w:pPr>
        <w:spacing w:after="120" w:before="0"/>
        <w:jc w:val="both"/>
      </w:pPr>
      <w:r>
        <w:t>1. La conversación directa entre las partes que permita solucionar las controversias a través de la transacción.</w:t>
      </w:r>
    </w:p>
    <w:p>
      <w:pPr>
        <w:spacing w:after="120" w:before="0"/>
        <w:jc w:val="both"/>
      </w:pPr>
      <w:r>
        <w:t>2. La Mediación ante cualquier centro habilitado para el efecto dentro de la ciudad de Quito, a elección de la parte actora.</w:t>
      </w:r>
    </w:p>
    <w:p>
      <w:pPr>
        <w:spacing w:after="120" w:before="0"/>
        <w:jc w:val="both"/>
      </w:pPr>
      <w:r>
        <w:t>3. De no llegarse a acuerdos aplicando los medios indicados y continuar con la controversia, los contratantes acuerdan someterse al Arbitraje, procedimiento que podrá ser iniciado por cualquiera de las partes, y se ventilará ante cualquier centro habilitado para el efecto dentro de la ciudad de Quito, a elección de la parte actora, sometiéndose desde ya al reglamento que disponga el centro escogido. El arbitraje se sustanciará con la intervención de un solo Juez Árbitro, quien será elegido por sorteo y que queda expresamente facultado por las partes para adoptar las medidas cautelares que procedan de acuerdo con la ley de Arbitraje y Mediación. El árbitro que sustancie cualquier controversia derivada del presente contrato queda plenamente facultado para emitir el laudo que corresponda e impondrá la multa pertinente. El arbitraje será en derecho y las partes expresamente renuncian a interponer cualquier recurso del laudo arbitral.</w:t>
      </w:r>
    </w:p>
    <w:p>
      <w:pPr>
        <w:spacing w:after="120" w:before="120"/>
        <w:jc w:val="both"/>
      </w:pPr>
      <w:r>
        <w:rPr>
          <w:b/>
        </w:rPr>
        <w:t>DÉCIMA PRIMERA.- ACEPTACIÓN.- Las partes contratantes declaran expresamente que aceptan el total contenido de las cláusulas que anteceden por estar elaboradas en seguridad de sus respectivos intereses.</w:t>
      </w:r>
    </w:p>
    <w:p>
      <w:pPr>
        <w:spacing w:after="120" w:before="0"/>
        <w:jc w:val="both"/>
      </w:pPr>
      <w:r>
        <w:t>{% endif %}</w:t>
      </w:r>
    </w:p>
    <w:p>
      <w:pPr>
        <w:spacing w:after="120" w:before="0"/>
        <w:jc w:val="both"/>
      </w:pPr>
      <w:r>
        <w:t>Usted, señor Notario, se servirá agregar las demás cláusulas de estilo para la perfecta validez de este tipo de instrumentos.</w:t>
      </w:r>
    </w:p>
    <w:p>
      <w:pPr>
        <w:spacing w:after="120" w:before="0"/>
        <w:jc w:val="both"/>
      </w:pPr>
      <w:r>
        <w:t>AB. {{ abogado.nombre }}</w:t>
        <w:br/>
        <w:t>{% if abogado.tipo_matricula == 'cj' %}MAT. {{ abogado.numero_matricula }}{% else %}MAT. {{ abogado.numero_matricula }} - COLEGIO DE ABOGADOS DE {{ abogado.provincia|upper }}{% endif %}</w:t>
      </w:r>
    </w:p>
    <w:sectPr w:rsidR="005361FE" w:rsidSect="004414A4">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2552"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1B40" w14:textId="77777777" w:rsidR="004414A4" w:rsidRDefault="004414A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6E029" w14:textId="77777777" w:rsidR="004414A4" w:rsidRDefault="004414A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F2AC" w14:textId="77777777" w:rsidR="004414A4" w:rsidRDefault="004414A4">
    <w:pPr>
      <w:pStyle w:val="Piedepgina"/>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0DA6B" w14:textId="77777777" w:rsidR="004414A4" w:rsidRDefault="004414A4">
    <w:pPr>
      <w:pStyle w:val="Encabezado"/>
    </w:pPr>
    <w:r>
      <w:rPr>
        <w:noProof/>
      </w:rPr>
      <w:pict w14:anchorId="4A6C2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819568" o:spid="_x0000_s1025" type="#_x0000_t75" alt="" style="position:absolute;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1" o:title="LEXDATA A4 FONDO WOR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77E33" w14:textId="77777777" w:rsidR="004414A4" w:rsidRDefault="004414A4">
    <w:pPr>
      <w:pStyle w:val="Encabezado"/>
    </w:pPr>
    <w:r>
      <w:rPr>
        <w:noProof/>
      </w:rPr>
      <w:pict w14:anchorId="375A9A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819569" o:spid="_x0000_s1026" type="#_x0000_t75" alt="" style="position:absolute;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1" o:title="LEXDATA A4 FONDO WOR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AFE5" w14:textId="77777777" w:rsidR="004414A4" w:rsidRDefault="004414A4">
    <w:pPr>
      <w:pStyle w:val="Encabezado"/>
    </w:pPr>
    <w:r>
      <w:rPr>
        <w:noProof/>
      </w:rPr>
      <w:pict w14:anchorId="2A7FC5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2819567" o:spid="_x0000_s1027" type="#_x0000_t75" alt="" style="position:absolute;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1" o:title="LEXDATA A4 FONDO WOR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E5175"/>
    <w:multiLevelType w:val="hybridMultilevel"/>
    <w:tmpl w:val="ED0C9A14"/>
    <w:lvl w:ilvl="0" w:tplc="6A7EBEB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686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4A4"/>
    <w:rsid w:val="000C2DE8"/>
    <w:rsid w:val="001B0C1B"/>
    <w:rsid w:val="00340006"/>
    <w:rsid w:val="003421B4"/>
    <w:rsid w:val="004414A4"/>
    <w:rsid w:val="005361FE"/>
    <w:rsid w:val="006A1DF1"/>
    <w:rsid w:val="00846414"/>
    <w:rsid w:val="008F6E2C"/>
    <w:rsid w:val="00BE07F8"/>
    <w:rsid w:val="00D14939"/>
    <w:rsid w:val="00DC5306"/>
    <w:rsid w:val="00E864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498DC"/>
  <w15:chartTrackingRefBased/>
  <w15:docId w15:val="{34EA5D12-E7EF-4B83-89C3-F2DECFBB2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4A4"/>
    <w:pPr>
      <w:spacing w:after="0" w:line="240" w:lineRule="auto"/>
    </w:pPr>
    <w:rPr>
      <w:kern w:val="0"/>
      <w:sz w:val="24"/>
      <w:szCs w:val="24"/>
      <w:lang w:val="es-EC"/>
      <w14:ligatures w14:val="none"/>
    </w:rPr>
  </w:style>
  <w:style w:type="paragraph" w:styleId="Ttulo1">
    <w:name w:val="heading 1"/>
    <w:basedOn w:val="Normal"/>
    <w:next w:val="Normal"/>
    <w:link w:val="Ttulo1Car"/>
    <w:uiPriority w:val="9"/>
    <w:qFormat/>
    <w:rsid w:val="004414A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s-ES"/>
      <w14:ligatures w14:val="standardContextual"/>
    </w:rPr>
  </w:style>
  <w:style w:type="paragraph" w:styleId="Ttulo2">
    <w:name w:val="heading 2"/>
    <w:basedOn w:val="Normal"/>
    <w:next w:val="Normal"/>
    <w:link w:val="Ttulo2Car"/>
    <w:uiPriority w:val="9"/>
    <w:semiHidden/>
    <w:unhideWhenUsed/>
    <w:qFormat/>
    <w:rsid w:val="004414A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s-ES"/>
      <w14:ligatures w14:val="standardContextual"/>
    </w:rPr>
  </w:style>
  <w:style w:type="paragraph" w:styleId="Ttulo3">
    <w:name w:val="heading 3"/>
    <w:basedOn w:val="Normal"/>
    <w:next w:val="Normal"/>
    <w:link w:val="Ttulo3Car"/>
    <w:uiPriority w:val="9"/>
    <w:semiHidden/>
    <w:unhideWhenUsed/>
    <w:qFormat/>
    <w:rsid w:val="004414A4"/>
    <w:pPr>
      <w:keepNext/>
      <w:keepLines/>
      <w:spacing w:before="160" w:after="80" w:line="259" w:lineRule="auto"/>
      <w:outlineLvl w:val="2"/>
    </w:pPr>
    <w:rPr>
      <w:rFonts w:eastAsiaTheme="majorEastAsia" w:cstheme="majorBidi"/>
      <w:color w:val="2F5496" w:themeColor="accent1" w:themeShade="BF"/>
      <w:kern w:val="2"/>
      <w:sz w:val="28"/>
      <w:szCs w:val="28"/>
      <w:lang w:val="es-ES"/>
      <w14:ligatures w14:val="standardContextual"/>
    </w:rPr>
  </w:style>
  <w:style w:type="paragraph" w:styleId="Ttulo4">
    <w:name w:val="heading 4"/>
    <w:basedOn w:val="Normal"/>
    <w:next w:val="Normal"/>
    <w:link w:val="Ttulo4Car"/>
    <w:uiPriority w:val="9"/>
    <w:semiHidden/>
    <w:unhideWhenUsed/>
    <w:qFormat/>
    <w:rsid w:val="004414A4"/>
    <w:pPr>
      <w:keepNext/>
      <w:keepLines/>
      <w:spacing w:before="80" w:after="40" w:line="259" w:lineRule="auto"/>
      <w:outlineLvl w:val="3"/>
    </w:pPr>
    <w:rPr>
      <w:rFonts w:eastAsiaTheme="majorEastAsia" w:cstheme="majorBidi"/>
      <w:i/>
      <w:iCs/>
      <w:color w:val="2F5496" w:themeColor="accent1" w:themeShade="BF"/>
      <w:kern w:val="2"/>
      <w:sz w:val="22"/>
      <w:szCs w:val="22"/>
      <w:lang w:val="es-ES"/>
      <w14:ligatures w14:val="standardContextual"/>
    </w:rPr>
  </w:style>
  <w:style w:type="paragraph" w:styleId="Ttulo5">
    <w:name w:val="heading 5"/>
    <w:basedOn w:val="Normal"/>
    <w:next w:val="Normal"/>
    <w:link w:val="Ttulo5Car"/>
    <w:uiPriority w:val="9"/>
    <w:semiHidden/>
    <w:unhideWhenUsed/>
    <w:qFormat/>
    <w:rsid w:val="004414A4"/>
    <w:pPr>
      <w:keepNext/>
      <w:keepLines/>
      <w:spacing w:before="80" w:after="40" w:line="259" w:lineRule="auto"/>
      <w:outlineLvl w:val="4"/>
    </w:pPr>
    <w:rPr>
      <w:rFonts w:eastAsiaTheme="majorEastAsia" w:cstheme="majorBidi"/>
      <w:color w:val="2F5496" w:themeColor="accent1" w:themeShade="BF"/>
      <w:kern w:val="2"/>
      <w:sz w:val="22"/>
      <w:szCs w:val="22"/>
      <w:lang w:val="es-ES"/>
      <w14:ligatures w14:val="standardContextual"/>
    </w:rPr>
  </w:style>
  <w:style w:type="paragraph" w:styleId="Ttulo6">
    <w:name w:val="heading 6"/>
    <w:basedOn w:val="Normal"/>
    <w:next w:val="Normal"/>
    <w:link w:val="Ttulo6Car"/>
    <w:uiPriority w:val="9"/>
    <w:semiHidden/>
    <w:unhideWhenUsed/>
    <w:qFormat/>
    <w:rsid w:val="004414A4"/>
    <w:pPr>
      <w:keepNext/>
      <w:keepLines/>
      <w:spacing w:before="40" w:line="259" w:lineRule="auto"/>
      <w:outlineLvl w:val="5"/>
    </w:pPr>
    <w:rPr>
      <w:rFonts w:eastAsiaTheme="majorEastAsia" w:cstheme="majorBidi"/>
      <w:i/>
      <w:iCs/>
      <w:color w:val="595959" w:themeColor="text1" w:themeTint="A6"/>
      <w:kern w:val="2"/>
      <w:sz w:val="22"/>
      <w:szCs w:val="22"/>
      <w:lang w:val="es-ES"/>
      <w14:ligatures w14:val="standardContextual"/>
    </w:rPr>
  </w:style>
  <w:style w:type="paragraph" w:styleId="Ttulo7">
    <w:name w:val="heading 7"/>
    <w:basedOn w:val="Normal"/>
    <w:next w:val="Normal"/>
    <w:link w:val="Ttulo7Car"/>
    <w:uiPriority w:val="9"/>
    <w:semiHidden/>
    <w:unhideWhenUsed/>
    <w:qFormat/>
    <w:rsid w:val="004414A4"/>
    <w:pPr>
      <w:keepNext/>
      <w:keepLines/>
      <w:spacing w:before="40" w:line="259" w:lineRule="auto"/>
      <w:outlineLvl w:val="6"/>
    </w:pPr>
    <w:rPr>
      <w:rFonts w:eastAsiaTheme="majorEastAsia" w:cstheme="majorBidi"/>
      <w:color w:val="595959" w:themeColor="text1" w:themeTint="A6"/>
      <w:kern w:val="2"/>
      <w:sz w:val="22"/>
      <w:szCs w:val="22"/>
      <w:lang w:val="es-ES"/>
      <w14:ligatures w14:val="standardContextual"/>
    </w:rPr>
  </w:style>
  <w:style w:type="paragraph" w:styleId="Ttulo8">
    <w:name w:val="heading 8"/>
    <w:basedOn w:val="Normal"/>
    <w:next w:val="Normal"/>
    <w:link w:val="Ttulo8Car"/>
    <w:uiPriority w:val="9"/>
    <w:semiHidden/>
    <w:unhideWhenUsed/>
    <w:qFormat/>
    <w:rsid w:val="004414A4"/>
    <w:pPr>
      <w:keepNext/>
      <w:keepLines/>
      <w:spacing w:line="259" w:lineRule="auto"/>
      <w:outlineLvl w:val="7"/>
    </w:pPr>
    <w:rPr>
      <w:rFonts w:eastAsiaTheme="majorEastAsia" w:cstheme="majorBidi"/>
      <w:i/>
      <w:iCs/>
      <w:color w:val="272727" w:themeColor="text1" w:themeTint="D8"/>
      <w:kern w:val="2"/>
      <w:sz w:val="22"/>
      <w:szCs w:val="22"/>
      <w:lang w:val="es-ES"/>
      <w14:ligatures w14:val="standardContextual"/>
    </w:rPr>
  </w:style>
  <w:style w:type="paragraph" w:styleId="Ttulo9">
    <w:name w:val="heading 9"/>
    <w:basedOn w:val="Normal"/>
    <w:next w:val="Normal"/>
    <w:link w:val="Ttulo9Car"/>
    <w:uiPriority w:val="9"/>
    <w:semiHidden/>
    <w:unhideWhenUsed/>
    <w:qFormat/>
    <w:rsid w:val="004414A4"/>
    <w:pPr>
      <w:keepNext/>
      <w:keepLines/>
      <w:spacing w:line="259" w:lineRule="auto"/>
      <w:outlineLvl w:val="8"/>
    </w:pPr>
    <w:rPr>
      <w:rFonts w:eastAsiaTheme="majorEastAsia" w:cstheme="majorBidi"/>
      <w:color w:val="272727" w:themeColor="text1" w:themeTint="D8"/>
      <w:kern w:val="2"/>
      <w:sz w:val="22"/>
      <w:szCs w:val="22"/>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14A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414A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414A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14A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14A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14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14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14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14A4"/>
    <w:rPr>
      <w:rFonts w:eastAsiaTheme="majorEastAsia" w:cstheme="majorBidi"/>
      <w:color w:val="272727" w:themeColor="text1" w:themeTint="D8"/>
    </w:rPr>
  </w:style>
  <w:style w:type="paragraph" w:styleId="Ttulo">
    <w:name w:val="Title"/>
    <w:basedOn w:val="Normal"/>
    <w:next w:val="Normal"/>
    <w:link w:val="TtuloCar"/>
    <w:uiPriority w:val="10"/>
    <w:qFormat/>
    <w:rsid w:val="004414A4"/>
    <w:pPr>
      <w:spacing w:after="80"/>
      <w:contextualSpacing/>
    </w:pPr>
    <w:rPr>
      <w:rFonts w:asciiTheme="majorHAnsi" w:eastAsiaTheme="majorEastAsia" w:hAnsiTheme="majorHAnsi"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4414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14A4"/>
    <w:pPr>
      <w:numPr>
        <w:ilvl w:val="1"/>
      </w:numPr>
      <w:spacing w:after="160" w:line="259" w:lineRule="auto"/>
    </w:pPr>
    <w:rPr>
      <w:rFonts w:eastAsiaTheme="majorEastAsia" w:cstheme="majorBidi"/>
      <w:color w:val="595959" w:themeColor="text1" w:themeTint="A6"/>
      <w:spacing w:val="15"/>
      <w:kern w:val="2"/>
      <w:sz w:val="28"/>
      <w:szCs w:val="28"/>
      <w:lang w:val="es-ES"/>
      <w14:ligatures w14:val="standardContextual"/>
    </w:rPr>
  </w:style>
  <w:style w:type="character" w:customStyle="1" w:styleId="SubttuloCar">
    <w:name w:val="Subtítulo Car"/>
    <w:basedOn w:val="Fuentedeprrafopredeter"/>
    <w:link w:val="Subttulo"/>
    <w:uiPriority w:val="11"/>
    <w:rsid w:val="004414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14A4"/>
    <w:pPr>
      <w:spacing w:before="160" w:after="160" w:line="259" w:lineRule="auto"/>
      <w:jc w:val="center"/>
    </w:pPr>
    <w:rPr>
      <w:i/>
      <w:iCs/>
      <w:color w:val="404040" w:themeColor="text1" w:themeTint="BF"/>
      <w:kern w:val="2"/>
      <w:sz w:val="22"/>
      <w:szCs w:val="22"/>
      <w:lang w:val="es-ES"/>
      <w14:ligatures w14:val="standardContextual"/>
    </w:rPr>
  </w:style>
  <w:style w:type="character" w:customStyle="1" w:styleId="CitaCar">
    <w:name w:val="Cita Car"/>
    <w:basedOn w:val="Fuentedeprrafopredeter"/>
    <w:link w:val="Cita"/>
    <w:uiPriority w:val="29"/>
    <w:rsid w:val="004414A4"/>
    <w:rPr>
      <w:i/>
      <w:iCs/>
      <w:color w:val="404040" w:themeColor="text1" w:themeTint="BF"/>
    </w:rPr>
  </w:style>
  <w:style w:type="paragraph" w:styleId="Prrafodelista">
    <w:name w:val="List Paragraph"/>
    <w:basedOn w:val="Normal"/>
    <w:uiPriority w:val="34"/>
    <w:qFormat/>
    <w:rsid w:val="004414A4"/>
    <w:pPr>
      <w:spacing w:after="160" w:line="259" w:lineRule="auto"/>
      <w:ind w:left="720"/>
      <w:contextualSpacing/>
    </w:pPr>
    <w:rPr>
      <w:kern w:val="2"/>
      <w:sz w:val="22"/>
      <w:szCs w:val="22"/>
      <w:lang w:val="es-ES"/>
      <w14:ligatures w14:val="standardContextual"/>
    </w:rPr>
  </w:style>
  <w:style w:type="character" w:styleId="nfasisintenso">
    <w:name w:val="Intense Emphasis"/>
    <w:basedOn w:val="Fuentedeprrafopredeter"/>
    <w:uiPriority w:val="21"/>
    <w:qFormat/>
    <w:rsid w:val="004414A4"/>
    <w:rPr>
      <w:i/>
      <w:iCs/>
      <w:color w:val="2F5496" w:themeColor="accent1" w:themeShade="BF"/>
    </w:rPr>
  </w:style>
  <w:style w:type="paragraph" w:styleId="Citadestacada">
    <w:name w:val="Intense Quote"/>
    <w:basedOn w:val="Normal"/>
    <w:next w:val="Normal"/>
    <w:link w:val="CitadestacadaCar"/>
    <w:uiPriority w:val="30"/>
    <w:qFormat/>
    <w:rsid w:val="004414A4"/>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sz w:val="22"/>
      <w:szCs w:val="22"/>
      <w:lang w:val="es-ES"/>
      <w14:ligatures w14:val="standardContextual"/>
    </w:rPr>
  </w:style>
  <w:style w:type="character" w:customStyle="1" w:styleId="CitadestacadaCar">
    <w:name w:val="Cita destacada Car"/>
    <w:basedOn w:val="Fuentedeprrafopredeter"/>
    <w:link w:val="Citadestacada"/>
    <w:uiPriority w:val="30"/>
    <w:rsid w:val="004414A4"/>
    <w:rPr>
      <w:i/>
      <w:iCs/>
      <w:color w:val="2F5496" w:themeColor="accent1" w:themeShade="BF"/>
    </w:rPr>
  </w:style>
  <w:style w:type="character" w:styleId="Referenciaintensa">
    <w:name w:val="Intense Reference"/>
    <w:basedOn w:val="Fuentedeprrafopredeter"/>
    <w:uiPriority w:val="32"/>
    <w:qFormat/>
    <w:rsid w:val="004414A4"/>
    <w:rPr>
      <w:b/>
      <w:bCs/>
      <w:smallCaps/>
      <w:color w:val="2F5496" w:themeColor="accent1" w:themeShade="BF"/>
      <w:spacing w:val="5"/>
    </w:rPr>
  </w:style>
  <w:style w:type="paragraph" w:styleId="Encabezado">
    <w:name w:val="header"/>
    <w:basedOn w:val="Normal"/>
    <w:link w:val="EncabezadoCar"/>
    <w:uiPriority w:val="99"/>
    <w:unhideWhenUsed/>
    <w:rsid w:val="004414A4"/>
    <w:pPr>
      <w:tabs>
        <w:tab w:val="center" w:pos="4680"/>
        <w:tab w:val="right" w:pos="9360"/>
      </w:tabs>
    </w:pPr>
  </w:style>
  <w:style w:type="character" w:customStyle="1" w:styleId="EncabezadoCar">
    <w:name w:val="Encabezado Car"/>
    <w:basedOn w:val="Fuentedeprrafopredeter"/>
    <w:link w:val="Encabezado"/>
    <w:uiPriority w:val="99"/>
    <w:rsid w:val="004414A4"/>
    <w:rPr>
      <w:kern w:val="0"/>
      <w:sz w:val="24"/>
      <w:szCs w:val="24"/>
      <w:lang w:val="es-EC"/>
      <w14:ligatures w14:val="none"/>
    </w:rPr>
  </w:style>
  <w:style w:type="paragraph" w:styleId="Piedepgina">
    <w:name w:val="footer"/>
    <w:basedOn w:val="Normal"/>
    <w:link w:val="PiedepginaCar"/>
    <w:uiPriority w:val="99"/>
    <w:unhideWhenUsed/>
    <w:rsid w:val="004414A4"/>
    <w:pPr>
      <w:tabs>
        <w:tab w:val="center" w:pos="4680"/>
        <w:tab w:val="right" w:pos="9360"/>
      </w:tabs>
    </w:pPr>
  </w:style>
  <w:style w:type="character" w:customStyle="1" w:styleId="PiedepginaCar">
    <w:name w:val="Pie de página Car"/>
    <w:basedOn w:val="Fuentedeprrafopredeter"/>
    <w:link w:val="Piedepgina"/>
    <w:uiPriority w:val="99"/>
    <w:rsid w:val="004414A4"/>
    <w:rPr>
      <w:kern w:val="0"/>
      <w:sz w:val="24"/>
      <w:szCs w:val="24"/>
      <w:lang w:val="es-EC"/>
      <w14:ligatures w14:val="none"/>
    </w:rPr>
  </w:style>
  <w:style w:type="character" w:styleId="Hipervnculo">
    <w:name w:val="Hyperlink"/>
    <w:basedOn w:val="Fuentedeprrafopredeter"/>
    <w:uiPriority w:val="99"/>
    <w:unhideWhenUsed/>
    <w:rsid w:val="004414A4"/>
    <w:rPr>
      <w:color w:val="0563C1" w:themeColor="hyperlink"/>
      <w:u w:val="single"/>
    </w:rPr>
  </w:style>
  <w:style w:type="table" w:styleId="Tablaconcuadrcula">
    <w:name w:val="Table Grid"/>
    <w:basedOn w:val="Tablanormal"/>
    <w:uiPriority w:val="39"/>
    <w:rsid w:val="00441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ela.vera.soza@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amejia@notaria22quito.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pfausto51@gmail.com" TargetMode="External"/><Relationship Id="rId11" Type="http://schemas.openxmlformats.org/officeDocument/2006/relationships/footer" Target="footer1.xml"/><Relationship Id="rId5" Type="http://schemas.openxmlformats.org/officeDocument/2006/relationships/hyperlink" Target="mailto:pfausto51@gmail.com" TargetMode="Externa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17</Pages>
  <Words>5820</Words>
  <Characters>31725</Characters>
  <Application>Microsoft Office Word</Application>
  <DocSecurity>0</DocSecurity>
  <Lines>587</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David Mejía Viteri</dc:creator>
  <cp:keywords/>
  <dc:description/>
  <cp:lastModifiedBy>Alex David Mejía Viteri</cp:lastModifiedBy>
  <cp:revision>1</cp:revision>
  <dcterms:created xsi:type="dcterms:W3CDTF">2026-02-22T22:00:00Z</dcterms:created>
  <dcterms:modified xsi:type="dcterms:W3CDTF">2026-02-22T23:27:00Z</dcterms:modified>
</cp:coreProperties>
</file>