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jc w:val="both"/>
      </w:pPr>
      <w:r>
        <w:rPr>
          <w:b/>
        </w:rPr>
        <w:t>SEÑOR NOTARIO:</w:t>
      </w:r>
    </w:p>
    <w:p>
      <w:pPr>
        <w:spacing w:after="120" w:before="0"/>
        <w:jc w:val="both"/>
      </w:pPr>
      <w:r>
        <w:t>En el protocolo de escrituras públicas a su cargo, sírvase insertar una de promesa de compraventa de acuerdo con las siguientes cláusulas:</w:t>
      </w:r>
    </w:p>
    <w:p>
      <w:pPr>
        <w:spacing w:after="120" w:before="120"/>
        <w:jc w:val="both"/>
      </w:pPr>
      <w:r>
        <w:rPr>
          <w:b/>
        </w:rPr>
        <w:t>PRIMERA.- COMPARECIENTES.- Comparecen a la celebración del presente contrato por una parte: {% for grupo in grupos_vendedores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grupos_vendedores[loop.index].tipo == 'soltero' %}y, el señor: {% elif grupos_vendedores[loop.index].es_empresa %}y, {% endif %}{% endif %}{% endfor %}, a quien se denominará la parte PROMITENTE VENDEDORA; y, por otra: {% for grupo in grupos_compradores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grupos_compradores[loop.index].tipo == 'soltero' %}y, el señor: {% elif grupos_compradores[loop.index].es_empresa %}y, {% endif %}{% endif %}{% endfor %}, a quien se denominará la parte PROMITENTE COMPRADORA.</w:t>
      </w:r>
    </w:p>
    <w:p>
      <w:pPr>
        <w:spacing w:after="120" w:before="120"/>
        <w:jc w:val="both"/>
      </w:pPr>
      <w:r>
        <w:rPr>
          <w:b/>
        </w:rPr>
        <w:t>SEGUNDA.- ANTECEDENTES.-</w:t>
      </w:r>
    </w:p>
    <w:p>
      <w:pPr>
        <w:spacing w:after="120" w:before="0"/>
        <w:jc w:val="both"/>
      </w:pPr>
      <w:r>
        <w:t>{% if es_horizontal %}</w:t>
        <w:br/>
        <w:t>2.1.- La parte PROMITENTE VENDEDORA es propietaria de los siguientes inmuebles: {% for predio in predios %}{% if predio.es_compuesto %}{% for inmueble in predio.inmuebles %}{% if inmueble.tipo == 'Otro' %}{{ inmueble.tipo_otro }}{% else %}{{ inmueble.tipo }}{% endif %} {% if predio.tipo == 'Otro' %}{{ predio.tipo_otro }}{% else %}{{ predio.tipo }}{% endif %} {{ predio.numero }}, {% if inmueble.esta_construido %}nivel {{ inmueble.nivel }}, {% endif %}{% if inmueble.area_cubierta %}área cubierta {{ inmueble.area_cubierta_palabras }} metros cuadrados, {% endif %}{% if inmueble.area_descubierta %}área descubierta {{ inmueble.area_descubierta_palabras }} metros cuadrados, {% endif %}{% if inmueble.esta_construido %}Alícuota parcial {{ inmueble.alicuota_parcial_palabras }} por ciento; {% endif %}{% endfor %}{% if predio.inmuebles | selectattr('esta_construido') | list %}Alícuota total {{ predio.alicuota_total_palabras }} por ciento; {% endif %}{% else %}{% if predio.tipo == 'Otro' %}{{ predio.tipo_otro }}{% else %}{{ predio.tipo }}{% endif %} {{ predio.numero_palabras }}, {% if predio.inmuebles[0].esta_construido %}nivel {{ predio.inmuebles[0].nivel }}, {% endif %}{% if predio.inmuebles[0].area_cubierta %}área cubierta {{ predio.inmuebles[0].area_cubierta_palabras }} metros cuadrados, {% endif %}{% if predio.inmuebles[0].area_descubierta %}área descubierta {{ predio.inmuebles[0].area_descubierta_palabras }} metros cuadrados, {% endif %}{% if predio.inmuebles[0].esta_construido %}Alícuota parcial {{ predio.inmuebles[0].alicuota_parcial_palabras }} por ciento, Alícuota total {{ predio.alicuota_total_palabras }} por ciento; {% endif %}{% endif %}{% endfor %}del {{ nombre_conjunto }}, construido en el {{ ubicacion.lote }} número {{ ubicacion.numero }}, situado en la parroquia {{ ubicacion.parroquia }}, cantón {{ ubicacion.canton }}, Provincia de {{ ubicacion.provincia }}.</w:t>
        <w:br/>
        <w:t>{% else %}</w:t>
        <w:br/>
        <w:t>2.1.- La parte PROMITENTE VENDEDORA es propietaria del {{ bien_comun.tipo_bien_comun_texto }} ({{ bien_comun.tipo_bien_comun }}{% if bien_comun.tipo_bien_comun == 'otro' %}: {{ bien_comun.tipo_bien_comun_otro }}{% endif %}), ubicado en la calle {{ ubicacion.lote }} número {{ ubicacion.numero }}, parroquia {{ ubicacion.parroquia }}, cantón {{ ubicacion.canton }}, Provincia de {{ ubicacion.provincia }}{% if bien_comun.superficie_bien_comun %}, con una superficie de {{ bien_comun.superficie_bien_comun }} metros cuadrados{% endif %}, en donde se encuentra {% if bien_comun.descripcion_bien_comun %}{{ bien_comun.descripcion_bien_comun }}.{% else %}construyendo el inmueble objeto de este contrato.{% endif %}</w:t>
        <w:br/>
        <w:t>{% endif %}</w:t>
      </w:r>
    </w:p>
    <w:p>
      <w:pPr>
        <w:spacing w:after="120" w:before="0"/>
        <w:jc w:val="both"/>
      </w:pPr>
      <w:r>
        <w:t>{% if historia_manual %}</w:t>
        <w:br/>
        <w:t>2.2.- {{ historia_texto|richtext }}</w:t>
        <w:br/>
        <w:t>{% else %}</w:t>
        <w:br/>
        <w:t>2.2.- Las referidas {% if es_horizontal %}alícuotas fueron{% else %}propiedades fueron{% endif %} adquiridas por la parte PROMITENTE VENDEDORA a título de {{ historia.titulo_texto }}{% if historia.titulo == 'otro' %} {{ historia.titulo_otro }}{% endif %}, {% if historia.titulo != 'sucesion' %}a {{ historia.adquirido_de }}, {% else %}por sucesión a causa de muerte del causante {{ historia.nombre_causante }}, mediante {{ historia.tipo_sucesion_texto }}, {% endif %}según consta de la escritura pública celebrada el {{ historia.fecha_otorgamiento }}, ante el notario {{ historia.numero_notaria }} del cantón {{ historia.canton_notaria }}, {{ historia.notario }}, inscrita en el Registro de la Propiedad el {{ historia.fecha_inscripcion }}{% if historia.mismo_canton %}, del mismo cantón{% elif historia.canton_inscripcion %}, del cantón {{ historia.canton_inscripcion }}{% endif %}.{% if historia.es_sucesion %} Por su parte, el causante adquirió la propiedad por {{ historia.causante_titulo_texto }}{% if historia.causante_titulo == 'otro' %} {{ historia.causante_titulo_otro }}{% endif %} a {{ historia.causante_adquirido_de }}, según consta de la escritura pública otorgada el {{ historia.causante_fecha_otorgamiento }}, ante el Notario {{ historia.causante_numero_notaria }} del cantón {{ historia.causante_canton_notaria }}, {{ historia.causante_notario }}, e inscrita en el Registro de la Propiedad el {{ historia.causante_fecha_inscripcion }}{% if historia.causante_mismo_canton %}, del mismo cantón{% elif historia.causante_canton_inscripcion %}, del cantón {{ historia.causante_canton_inscripcion }}{% endif %}.{% endif %}</w:t>
        <w:br/>
        <w:t>{% if historia.aclaratorias %}{% for aclaratoria in historia.aclaratorias %}</w:t>
      </w:r>
    </w:p>
    <w:p>
      <w:pPr>
        <w:spacing w:after="120" w:before="0"/>
        <w:jc w:val="both"/>
      </w:pPr>
      <w:r>
        <w:t>2.2.{{ loop.index }}.- El instrumento en referencia fue objeto de aclaratoria{% if aclaratoria.titulo %} por {{ aclaratoria.titulo_texto }}{% if aclaratoria.titulo == 'otro' %} {{ aclaratoria.titulo_otro }}{% endif %}{% if aclaratoria.adquirido_de %} a {{ aclaratoria.adquirido_de }}{% endif %}{% endif %}, según consta de la escritura pública celebrada el {{ aclaratoria.fecha_otorgamiento }}, ante el notario {{ aclaratoria.numero_notaria }} del cantón {{ aclaratoria.canton_notaria }}, {{ aclaratoria.notario }}, inscrita en el Registro de la Propiedad el {{ aclaratoria.fecha_inscripcion }}{% if aclaratoria.mismo_canton %}, del mismo cantón{% elif aclaratoria.canton_inscripcion %}, del cantón {{ aclaratoria.canton_inscripcion }}{% endif %}.{% if aclaratoria.aclaratorias %}{% for sub in aclaratoria.aclaratorias %}</w:t>
      </w:r>
    </w:p>
    <w:p>
      <w:pPr>
        <w:spacing w:after="120" w:before="0"/>
        <w:jc w:val="both"/>
      </w:pPr>
      <w:r>
        <w:t>2.2.{{ loop.index }}.{{ loop.index }}.- El instrumento en referencia fue objeto de aclaratoria, según consta de la escritura pública celebrada el {{ sub.fecha_otorgamiento }}, ante el notario {{ sub.numero_notaria }} del cantón {{ sub.canton_notaria }}, {{ sub.notario }}, inscrita en el Registro de la Propiedad el {{ sub.fecha_inscripcion }}{% if sub.mismo_canton %}, del mismo cantón{% elif sub.canton_inscripcion %}, del cantón {{ sub.canton_inscripcion }}{% endif %}.{% endfor %}{% endif %}{% endfor %}{% endif %}</w:t>
        <w:br/>
        <w:t>{% endif %}</w:t>
      </w:r>
    </w:p>
    <w:p>
      <w:pPr>
        <w:spacing w:after="120" w:before="0"/>
        <w:jc w:val="both"/>
      </w:pPr>
      <w:r>
        <w:t>{% if es_horizontal %}</w:t>
        <w:br/>
        <w:t>{% if hay_declaratoria %}</w:t>
        <w:br/>
        <w:t>{% if declaratoria_manual %}</w:t>
        <w:br/>
        <w:t>3.- {{ declaratoria_texto|richtext }}</w:t>
        <w:br/>
        <w:t>{% else %}</w:t>
        <w:br/>
        <w:t>3.- La declaratoria de propiedad horizontal del {{ nombre_conjunto }}, consta en la escritura pública celebrada el {{ declaratoria.fecha_otorgamiento }}, ante {% if declaratoria.notario %}{{ declaratoria.notario }}, Notari{% else %}el Notari{% endif %}{{ declaratoria.numero_notaria }} del cantón {{ declaratoria.canton_notaria }}, inscrita en el Registro de la Propiedad el {{ declaratoria.fecha_inscripcion }}{% if declaratoria.mismo_canton %}, del mismo cantón{% elif declaratoria.canton_inscripcion %}, del cantón {{ declaratoria.canton_inscripcion }}{% endif %}.{% if declaratoria.aclaratorias %}{% for aclaratoria in declaratoria.aclaratorias %}</w:t>
      </w:r>
    </w:p>
    <w:p>
      <w:pPr>
        <w:spacing w:after="120" w:before="0"/>
        <w:jc w:val="both"/>
      </w:pPr>
      <w:r>
        <w:t>3.{{ loop.index }}.- La declaratoria fue objeto de aclaratoria, según consta de la escritura pública celebrada el {{ aclaratoria.fecha_otorgamiento }}, ante el notario {{ aclaratoria.numero_notaria }} del cantón {{ aclaratoria.canton_notaria }}, {{ aclaratoria.notario }}, inscrita en el Registro de la Propiedad el {{ aclaratoria.fecha_inscripcion }}{% if aclaratoria.mismo_canton %}, del mismo cantón{% elif aclaratoria.canton_inscripcion %}, del cantón {{ aclaratoria.canton_inscripcion }}{% endif %}.{% endfor %}{% endif %}</w:t>
        <w:br/>
        <w:t>{% endif %}</w:t>
        <w:br/>
        <w:t>{% else %}</w:t>
        <w:br/>
        <w:t>3.- La declaratoria de propiedad horizontal del {{ nombre_conjunto }} se encuentra en proceso de tramitación y será otorgada una vez que se concluya el proceso constructivo, conforme a las autorizaciones municipales pertinentes y planos aprobados.</w:t>
        <w:br/>
        <w:t>{% endif %}</w:t>
      </w:r>
    </w:p>
    <w:p>
      <w:pPr>
        <w:spacing w:after="120" w:before="0"/>
        <w:jc w:val="both"/>
      </w:pPr>
      <w:r>
        <w:t>4.- El {{ nombre_conjunto }}, se encuentra construido sobre el {{ ubicacion.lote }} número {{ ubicacion.numero }}, ubicado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w:t>
        <w:br/>
        <w:t>{% else %}</w:t>
        <w:br/>
        <w:t>3.- El inmueble se encuentra ubicado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w:t>
        <w:br/>
        <w:t>{% endif %}</w:t>
      </w:r>
    </w:p>
    <w:p>
      <w:pPr>
        <w:spacing w:after="120" w:before="0"/>
        <w:jc w:val="both"/>
      </w:pPr>
      <w:r>
        <w:t>{% if tiene_linderos_especificos %}</w:t>
        <w:br/>
        <w:t>5.- Los linderos y dimensiones específicos o particulares de los inmuebles objeto de la presente promesa de compraventa son los siguientes: POR EL NORTE.- En {{ linderos_especificos.norte_metros_palabras }} metros, con {{ linderos_especificos.norte_colindancia }}; POR EL SUR.- En {{ linderos_especificos.sur_metros_palabras }} metros, con {{ linderos_especificos.sur_colindancia }}; POR EL ESTE.- En {{ linderos_especificos.este_metros_palabras }} metros, con {{ linderos_especificos.este_colindancia }}; POR EL OESTE.- En {{ linderos_especificos.oeste_metros_palabras }} metros, con {{ linderos_especificos.oeste_colindancia }}; POR ARRIBA.- En {{ linderos_especificos.arriba_metros_palabras }} metros, con {{ linderos_especificos.arriba_colindancia }}; y, POR ABAJO.- En {{ linderos_especificos.abajo_metros_palabras }} metros, con {{ linderos_especificos.abajo_colindancia }}. SUPERFICIE.- {{ linderos_especificos.superficie_palabras }} metros cuadrados.</w:t>
      </w:r>
    </w:p>
    <w:p>
      <w:pPr>
        <w:spacing w:after="120" w:before="0"/>
        <w:jc w:val="both"/>
      </w:pPr>
      <w:r>
        <w:t>{% if es_horizontal %}6{% else %}5{% endif %}.- En caso de presentarse en este instrumento un error de transcripción, las partes determinan como correctos y valederos los linderos y superficies constantes en el título de dominio del cual deriva.</w:t>
        <w:br/>
        <w:t>{% else %}</w:t>
        <w:br/>
        <w:t>{% if es_horizontal %}5{% else %}4{% endif %}.- En caso de presentarse en este instrumento un error de transcripción, las partes determinan como correctos y valederos los linderos y superficies constantes en el título de dominio del cual deriva.</w:t>
        <w:br/>
        <w:t>{% endif %}</w:t>
      </w:r>
    </w:p>
    <w:p>
      <w:pPr>
        <w:spacing w:after="120" w:before="120"/>
        <w:jc w:val="both"/>
      </w:pPr>
      <w:r>
        <w:rPr>
          <w:b/>
        </w:rPr>
        <w:t>TERCERA.- PROMESA DE COMPRAVENTA.- Con los antecedentes expuestos, la parte PROMITENTE VENDEDORA promete, actual e irrevocablemente, dar en venta real y perpetua enajenación a favor de la parte PROMITENTE COMPRADORA{% if es_horizontal %} las alícuotas descritas y singularizadas en la cláusula anterior del {{ nombre_conjunto }}, construido en el {{ ubicacion.lote }} número {{ ubicacion.numero }}, situado en la parroquia {{ ubicacion.parroquia }}, cantón {{ ubicacion.canton }}, Provincia de {{ ubicacion.provincia }}{% else %} el inmueble descrito y singularizado en la cláusula anterior{% endif %}. La venta y transferencia de dominio se hará con todas las entradas, salidas, usos, costumbres, servidumbres activas y pasivas y todo cuanto por Ley se considere inmueble por destinación, accesión o naturaleza que sean inherentes a {% if es_horizontal %}las alícuotas{% else %}el inmueble{% endif %} cuya propiedad se prometen transferir y siempre y cuando se cumplan con las condiciones detalladas en este contrato.</w:t>
      </w:r>
    </w:p>
    <w:p>
      <w:pPr>
        <w:spacing w:after="120" w:before="120"/>
        <w:jc w:val="both"/>
      </w:pPr>
      <w:r>
        <w:rPr>
          <w:b/>
        </w:rPr>
        <w:t>CUARTA.- PRECIO Y FORMA DE PAGO.- {% if precio_manual %}{{ precio_texto|richtext }}{% else %}El precio de venta {% if es_horizontal %}de las alícuotas{% else %}del inmueble{% endif %} antes descrito es de {{ precio.total_palabras }} DÓLARES DE LOS ESTADOS UNIDOS DE AMÉRICA (${{ precio.total }} USD), que la parte PROMITENTE COMPRADORA cancelará a la parte PROMITENTE VENDEDORA, de la siguiente forma: {% for parte in precio.partes %}{{ loop.index }}. {% if parte.es_cuotas %}La suma de {{ parte.monto_palabras }} DÓLARES DE LOS ESTADOS UNIDOS DE AMÉRICA ({{ parte.monto }} USD), pagaderos en {{ parte.numero_cuotas_palabras }} cuotas {{ parte.periodicidad }}s de {{ parte.valor_cuota_palabras }} DÓLARES DE LOS ESTADOS UNIDOS DE AMÉRICA ({{ parte.valor_cuota }} USD) cada una, mediante {{ parte.medio_pago_texto }}{% if parte.es_credito %}, con fondos provenientes del crédito hipotecario otorgado por {{ parte.nombre_banco }}, valores que se acreditarán a {{ parte.cuenta_destino }}{% endif %};{% else %}La suma de {{ parte.monto_palabras }} DÓLARES DE LOS ESTADOS UNIDOS DE AMÉRICA ({{ parte.monto }} USD), {% if parte.momento_pago == 'ya_pagado' %}fue cancelada en forma previa a la suscripción de la presente escritura pública, valor que la parte PROMITENTE VENDEDORA declara recibido a plena satisfacción{% elif parte.momento_pago == 'al_firmar' %}se cancela a la firma de la presente escritura pública{% elif parte.momento_pago == 'despues_inscribir' %}se cancelará inmediatamente después de que se inscriba el presente título en el Registro de la Propiedad{% else %}{{ parte.momento_otro }}{% endif %}, mediante {{ parte.medio_pago_texto }}{% if parte.medio_pago == 'cheque' %} {{ parte.tipo_cheque_texto }}{% endif %}{% if parte.tiene_detalle %}, {% if parte.medio_pago == 'transferencia' %}desde la cuenta {{ parte.detalle.tipo_cuenta_origen_texto }} número {{ parte.detalle.cuenta_origen }} del {{ parte.detalle.banco_origen }}, a la cuenta {{ parte.detalle.tipo_cuenta_destino_texto }} número {{ parte.detalle.cuenta_destino }} del {{ parte.detalle.banco_destino }}, valor que una vez acreditado quedará plenamente recibido{% elif parte.medio_pago == 'deposito' %}a la cuenta {{ parte.detalle.tipo_cuenta_destino_texto }} número {{ parte.detalle.cuenta_destino }} del {{ parte.detalle.banco_destino }}, valor que una vez acreditado quedará plenamente recibido{% endif %}{% endif %}{% if parte.es_credito %}, con fondos provenientes del crédito hipotecario otorgado por {{ parte.nombre_banco }}, valores que se acreditarán a {{ parte.cuenta_destino }}{% endif %};{% endif %} {% if not loop.last %}y, {% endif %}{% endfor %} La parte PROMITENTE COMPRADORA declara bajo juramento que los valores que entrega en pago del precio fijado tienen un origen lícito y en especial no provienen de ninguna actividad prohibida o sancionada por la Ley.{% endif %}</w:t>
      </w:r>
    </w:p>
    <w:p>
      <w:pPr>
        <w:spacing w:after="120" w:before="120"/>
        <w:jc w:val="both"/>
      </w:pPr>
      <w:r>
        <w:rPr>
          <w:b/>
        </w:rPr>
        <w:t>QUINTA.- PLAZO.-</w:t>
      </w:r>
    </w:p>
    <w:p>
      <w:pPr>
        <w:spacing w:after="120" w:before="0"/>
        <w:jc w:val="both"/>
      </w:pPr>
      <w:r>
        <w:t>5.1.- La escritura definitiva de compraventa se firmará {% if plazo.es_fecha_fija %}el {{ plazo.fecha_fija_texto }}{% else %}en el plazo de {{ plazo.duracion_texto }} contados a partir de la fecha de firma de la presente promesa{% endif %}, siempre y cuando la parte PROMITENTE COMPRADORA cancele la totalidad del precio en la forma establecida en la anterior cláusula.{% if plazo.con_prorroga %} Si por cualquier circunstancia justificable, la parte PROMITENTE COMPRADORA incurriere en algún tipo de retraso, el plazo aquí determinado podrá prorrogarse máximo hasta el {{ plazo.fecha_prorroga_texto }}.{% endif %}</w:t>
      </w:r>
    </w:p>
    <w:p>
      <w:pPr>
        <w:spacing w:after="120" w:before="0"/>
        <w:jc w:val="both"/>
      </w:pPr>
      <w:r>
        <w:t>5.2.- Si la parte PROMITENTE COMPRADORA logra disponer de los fondos suficientes para pagar el saldo del precio y la parte PROMITENTE VENDEDORA tiene listo el inmueble para entrega, las escrituras definitivas podrán suscribirse antes del plazo fijado en este instrumento.</w:t>
      </w:r>
    </w:p>
    <w:p>
      <w:pPr>
        <w:spacing w:after="120" w:before="120"/>
        <w:jc w:val="both"/>
      </w:pPr>
      <w:r>
        <w:rPr>
          <w:b/>
        </w:rPr>
        <w:t>SEXTA.- SANEAMIENTO.- La parte PROMITENTE VENDEDORA declara que sobre el inmueble objeto de este contrato no pesa condición suspensiva ni resolutoria, que no es motivo de acciones rescisorias, reivindicatorias, posesorias o de petición de herencia, que se halla libre de juicios, embargos, prohibiciones de enajenar o gravamen de ninguna naturaleza que limite su dominio, conforme se desprende del certificado de hipotecas y gravámenes que debidamente convalidado se agrega como habilitante. No obstante, la parte PROMITENTE VENDEDORA responderá por la evicción y por los vicios ocultos y redhibitorios que se le puedan imputar. La transferencia de dominio del inmueble se hará como cuerpo cierto y singularizado, con todas sus entradas, salidas, usos, costumbres, servidumbres activas y pasivas, y todo cuanto por Ley se considere inmueble por destinación, accesión o naturaleza.</w:t>
      </w:r>
    </w:p>
    <w:p>
      <w:pPr>
        <w:spacing w:after="120" w:before="120"/>
        <w:jc w:val="both"/>
      </w:pPr>
      <w:r>
        <w:rPr>
          <w:b/>
        </w:rPr>
        <w:t>SÉPTIMA.- CLÁUSULA PENAL.- Las partes estipulan como multa {% if clausula_penal.tipo == 'monto_fijo' %}la suma de {{ clausula_penal.monto_fijo_palabras }} DÓLARES DE LOS ESTADOS UNIDOS DE AMÉRICA (${{ clausula_penal.monto_fijo }} USD){% else %}el {{ clausula_penal.porcentaje }}% del precio fijado por el inmueble, esto es, la suma de {{ clausula_penal.monto_calculado_palabras }} DÓLARES DE LOS ESTADOS UNIDOS DE AMÉRICA (${{ clausula_penal.monto_calculado }} USD){% endif %}, valor que será pagado por la parte que incumpla el presente contrato. Para el efecto, se considerará incumplimiento de la parte PROMITENTE COMPRADORA si, una vez cumplido el plazo para la suscripción de las escrituras definitivas, no lo hacen o no pagan el saldo del precio conforme a la cláusula cuarta precedente; mientras que, se considerará incumplimiento de la parte PROMITENTE VENDEDORA si, una vez cumplido el plazo, no suscribiere las escrituras definitivas o se negare o no pudiere suscribirlas por cualquier motivo que no sea la falta de pago.</w:t>
      </w:r>
    </w:p>
    <w:p>
      <w:pPr>
        <w:spacing w:after="120" w:before="0"/>
        <w:jc w:val="both"/>
      </w:pPr>
      <w:r>
        <w:t>{% if hay_condicion_resolutoria %}</w:t>
        <w:br/>
        <w:t>OCTAVA.- CONDICIÓN RESOLUTORIA, INCUMPLIMIENTO Y EJECUCIÓN.-</w:t>
      </w:r>
    </w:p>
    <w:p>
      <w:pPr>
        <w:spacing w:after="120" w:before="0"/>
        <w:jc w:val="both"/>
      </w:pPr>
      <w:r>
        <w:t>8.1.- Las partes acuerdan como condición resolutoria a cumplir en forma positiva por la parte PROMITENTE COMPRADORA el pago del saldo del precio dentro del plazo aquí determinado{% if plazo.con_prorroga %} o dentro de su prórroga también aquí definida{% endif %}. Por tal motivo, en el caso de que esta condición no se cumpla dentro del plazo {% if plazo.con_prorroga %}y prórroga máxima definida{% else %}máximo definido{% endif %}, inmediatamente la obligación de venta que tiene la parte PROMITENTE VENDEDORA a favor de la parte PROMITENTE COMPRADORA queda insubsistente y, por el contrario, sin necesidad de otorgar resciliación alguna, podrá gestionar la venta a un nuevo promitente comprador, sin perjuicio de realizar las acciones pertinentes para el cobro de la multa a la que tiene derecho en caso de que no pueda descontarla de los anticipos abonados.</w:t>
      </w:r>
    </w:p>
    <w:p>
      <w:pPr>
        <w:spacing w:after="120" w:before="0"/>
        <w:jc w:val="both"/>
      </w:pPr>
      <w:r>
        <w:t>8.2.- Por el contrario, si la parte PROMITENTE COMPRADORA dispone de los fondos suficientes para cubrir el saldo del precio{% if plazo.con_prorroga %}, asegurar su pago o simplemente ya lo canceló{% endif %}, la parte PROMITENTE VENDEDORA, por ningún concepto podrá retractarse de su obligación y, además de ser forzada a enajenarlo a favor de la parte PROMITENTE COMPRADORA, se le imputará la penalidad determinada en la cláusula anterior, valor que podrá descontarse del saldo del precio.</w:t>
      </w:r>
    </w:p>
    <w:p>
      <w:pPr>
        <w:spacing w:after="120" w:before="0"/>
        <w:jc w:val="both"/>
      </w:pPr>
      <w:r>
        <w:t>8.3.- En el caso de que los incumplidores en el pago del saldo del precio sean la parte PROMITENTE COMPRADORA y de haber realizado abonos que superen la penalidad determinada en la anterior cláusula, la parte PROMITENTE VENDEDORA repondrá en su favor los valores que excedan la multa, una vez que se logre vender el inmueble objeto de este contrato a favor de una tercera persona en un precio que no será inferior al determinado en este contrato.</w:t>
      </w:r>
    </w:p>
    <w:p>
      <w:pPr>
        <w:spacing w:after="120" w:before="0"/>
        <w:jc w:val="both"/>
      </w:pPr>
      <w:r>
        <w:t>8.4.- Por el contrario, en el evento de que el incumplidor fuere la parte PROMITENTE VENDEDORA, quien por cualquier circunstancia se negare a suscribir la escritura a favor de la parte PROMITENTE COMPRADORA, se acuerda como obligación ineludible de hacer la suscripción de las escrituras de compraventa definitivas, las cuales, de no otorgarse voluntariamente por culpa del tradente, generan el derecho a favor de la parte PROMITENTE COMPRADORA para que ejecuten directamente el contrato por medio de un juez de lo civil de Pichincha, con jurisdicción en el Distrito Metropolitano de Quito, autoridad que suscribirá las escrituras definitivas de compraventa a su favor, recibiendo{% if plazo.con_prorroga %} de haberlo{% endif %} el saldo del precio que permanecerá a disposición de la parte PROMITENTE VENDEDORA en las cuentas del juzgado y descontará el valor de la penalidad aquí determinada.</w:t>
      </w:r>
    </w:p>
    <w:p>
      <w:pPr>
        <w:spacing w:after="120" w:before="120"/>
        <w:jc w:val="both"/>
      </w:pPr>
      <w:r>
        <w:rPr>
          <w:b/>
        </w:rPr>
        <w:t>NOVENA.- GASTOS.- Los gastos que demande la celebración de la presente escritura pública, al igual que aquellos que se generen por las escrituras de compraventa definitivas, serán de cuenta de la parte PROMITENTE COMPRADORA, a excepción del impuesto a la plusvalía que, de haberlo, será de cuenta de la parte PROMITENTE VENDEDORA.</w:t>
      </w:r>
    </w:p>
    <w:p>
      <w:pPr>
        <w:spacing w:after="120" w:before="120"/>
        <w:jc w:val="both"/>
      </w:pPr>
      <w:r>
        <w:rPr>
          <w:b/>
        </w:rPr>
        <w:t>DÉCIMA.- DOCUMENTACIÓN.- La parte PROMITENTE VENDEDORA entregará a la parte PROMITENTE COMPRADORA para el otorgamiento de las escrituras definitivas de compraventa el certificado de hipotecas y gravámenes del inmueble que acredita que la propiedad está libre y puede ser enajenada, conjuntamente con el comprobante del pago del impuesto predial del año de vencimiento del plazo. Adicionalmente, en esa fecha, entregará copia certificada de las escrituras de propiedad del inmueble con la razón de inscripción pertinente. Las partes quedan autorizadas mutuamente a gestionar el proceso de catastro de la transferencia de dominio una vez que se cumplan con los plazos y condiciones estipulados en el presente contrato.</w:t>
      </w:r>
    </w:p>
    <w:p>
      <w:pPr>
        <w:spacing w:after="120" w:before="120"/>
        <w:jc w:val="both"/>
      </w:pPr>
      <w:r>
        <w:rPr>
          <w:b/>
        </w:rPr>
        <w:t>DÉCIMA PRIMERA.- SOLUCIÓN DE CONTROVERSIAS Y CLÁUSULA ARBITRAL.- Las partes, en caso de controversias diferentes a los mecanismos de resolución y ejecución previstos en la cláusula octava de este instrumento, renuncian fuero, domicilio y a la jurisdicción ordinaria, sometiéndose a las siguientes formas de solución:</w:t>
      </w:r>
    </w:p>
    <w:p>
      <w:pPr>
        <w:spacing w:after="120" w:before="0"/>
        <w:jc w:val="both"/>
      </w:pPr>
      <w:r>
        <w:t>1. La conversación directa entre las partes que permita solucionar las controversias a través de la transacción.</w:t>
      </w:r>
    </w:p>
    <w:p>
      <w:pPr>
        <w:spacing w:after="120" w:before="0"/>
        <w:jc w:val="both"/>
      </w:pPr>
      <w:r>
        <w:t>2. La Mediación ante cualquier centro habilitado para el efecto dentro de la ciudad de Quito, a elección de la parte actora.</w:t>
      </w:r>
    </w:p>
    <w:p>
      <w:pPr>
        <w:spacing w:after="120" w:before="0"/>
        <w:jc w:val="both"/>
      </w:pPr>
      <w:r>
        <w:t>3. De no llegarse a acuerdos aplicando los medios indicados y continuar con la controversia, los contratantes acuerdan someterse al Arbitraje, procedimiento que podrá ser iniciado por cualquiera de las partes, y se ventilará ante cualquier centro habilitado para el efecto dentro de la ciudad de Quito, a elección de la parte actora, sometiéndose desde ya al reglamento que disponga el centro escogido. El arbitraje se sustanciará con la intervención de un solo Juez Árbitro, quien será elegido por sorteo y que queda expresamente facultado por las partes para adoptar las medidas cautelares que procedan de acuerdo con la ley de Arbitraje y Mediación. El árbitro que sustancie cualquier controversia derivada del presente contrato queda plenamente facultado para emitir el laudo que corresponda e impondrá la multa pertinente. El arbitraje será en derecho y las partes expresamente renuncian a interponer cualquier recurso del laudo arbitral.</w:t>
      </w:r>
    </w:p>
    <w:p>
      <w:pPr>
        <w:spacing w:after="120" w:before="0"/>
        <w:jc w:val="both"/>
      </w:pPr>
      <w:r>
        <w:t>{% if propiedad_intelectual %}</w:t>
        <w:br/>
        <w:t>DÉCIMA SEGUNDA.- ACEPTACIÓN.- Las partes contratantes declaran expresamente que aceptan el total contenido de las cláusulas que anteceden por estar elaboradas en seguridad de sus respectivos intereses y reconocen que la propiedad intelectual de la presente minuta pertenece a {% if propiedad_intelectual.genero_abogado == 'femenino' %}la abogada{% else %}el abogado{% endif %} {{ propiedad_intelectual.nombre_abogado }}, quien autoriza su utilización con su patrocinio únicamente para el otorgamiento del presente instrumento; en consecuencia, por ningún concepto quienes llegaren a conocer de este contenido por cualquier motivo y, en particular las partes que otorgan la presente promesa, están prohibidos de utilizarla para contratos similares sin la autorización de su autor{% if propiedad_intelectual.genero_abogado == 'femenino' %}a{% endif %}.</w:t>
        <w:br/>
        <w:t>{% else %}</w:t>
        <w:br/>
        <w:t>DÉCIMA SEGUNDA.- ACEPTACIÓN.- Las partes contratantes declaran expresamente que aceptan el total contenido de las cláusulas que anteceden por estar elaboradas en seguridad de sus respectivos intereses.</w:t>
        <w:br/>
        <w:t>{% endif %}</w:t>
      </w:r>
    </w:p>
    <w:p>
      <w:pPr>
        <w:spacing w:after="120" w:before="0"/>
        <w:jc w:val="both"/>
      </w:pPr>
      <w:r>
        <w:t>{% else %}</w:t>
      </w:r>
    </w:p>
    <w:p>
      <w:pPr>
        <w:spacing w:after="120" w:before="120"/>
        <w:jc w:val="both"/>
      </w:pPr>
      <w:r>
        <w:rPr>
          <w:b/>
        </w:rPr>
        <w:t>OCTAVA.- GASTOS.- Los gastos que demande la celebración de la presente escritura pública, al igual que aquellos que se generen por las escrituras de compraventa definitivas, serán de cuenta de la parte PROMITENTE COMPRADORA, a excepción del impuesto a la plusvalía que, de haberlo, será de cuenta de la parte PROMITENTE VENDEDORA.</w:t>
      </w:r>
    </w:p>
    <w:p>
      <w:pPr>
        <w:spacing w:after="120" w:before="120"/>
        <w:jc w:val="both"/>
      </w:pPr>
      <w:r>
        <w:rPr>
          <w:b/>
        </w:rPr>
        <w:t>NOVENA.- DOCUMENTACIÓN.- La parte PROMITENTE VENDEDORA entregará a la parte PROMITENTE COMPRADORA para el otorgamiento de las escrituras definitivas de compraventa el certificado de hipotecas y gravámenes del inmueble que acredita que la propiedad está libre y puede ser enajenada, conjuntamente con el comprobante del pago del impuesto predial del año de vencimiento del plazo. Adicionalmente, en esa fecha, entregará copia certificada de las escrituras de propiedad del inmueble con la razón de inscripción pertinente. Las partes quedan autorizadas mutuamente a gestionar el proceso de catastro de la transferencia de dominio una vez que se cumplan con los plazos y condiciones estipulados en el presente contrato.</w:t>
      </w:r>
    </w:p>
    <w:p>
      <w:pPr>
        <w:spacing w:after="120" w:before="120"/>
        <w:jc w:val="both"/>
      </w:pPr>
      <w:r>
        <w:rPr>
          <w:b/>
        </w:rPr>
        <w:t>DÉCIMA.- SOLUCIÓN DE CONTROVERSIAS Y CLÁUSULA ARBITRAL.- Las partes, en caso de controversias renuncian fuero, domicilio y a la jurisdicción ordinaria, sometiéndose a las siguientes formas de solución:</w:t>
      </w:r>
    </w:p>
    <w:p>
      <w:pPr>
        <w:spacing w:after="120" w:before="0"/>
        <w:jc w:val="both"/>
      </w:pPr>
      <w:r>
        <w:t>1. La conversación directa entre las partes que permita solucionar las controversias a través de la transacción.</w:t>
      </w:r>
    </w:p>
    <w:p>
      <w:pPr>
        <w:spacing w:after="120" w:before="0"/>
        <w:jc w:val="both"/>
      </w:pPr>
      <w:r>
        <w:t>2. La Mediación ante cualquier centro habilitado para el efecto dentro de la ciudad de Quito, a elección de la parte actora.</w:t>
      </w:r>
    </w:p>
    <w:p>
      <w:pPr>
        <w:spacing w:after="120" w:before="0"/>
        <w:jc w:val="both"/>
      </w:pPr>
      <w:r>
        <w:t>3. De no llegarse a acuerdos aplicando los medios indicados y continuar con la controversia, los contratantes acuerdan someterse al Arbitraje, procedimiento que podrá ser iniciado por cualquiera de las partes, y se ventilará ante cualquier centro habilitado para el efecto dentro de la ciudad de Quito, a elección de la parte actora, sometiéndose desde ya al reglamento que disponga el centro escogido. El arbitraje se sustanciará con la intervención de un solo Juez Árbitro, quien será elegido por sorteo y que queda expresamente facultado por las partes para adoptar las medidas cautelares que procedan de acuerdo con la ley de Arbitraje y Mediación. El árbitro que sustancie cualquier controversia derivada del presente contrato queda plenamente facultado para emitir el laudo que corresponda e impondrá la multa pertinente. El arbitraje será en derecho y las partes expresamente renuncian a interponer cualquier recurso del laudo arbitral.</w:t>
      </w:r>
    </w:p>
    <w:p>
      <w:pPr>
        <w:spacing w:after="120" w:before="120"/>
        <w:jc w:val="both"/>
      </w:pPr>
      <w:r>
        <w:rPr>
          <w:b/>
        </w:rPr>
        <w:t>DÉCIMA PRIMERA.- ACEPTACIÓN.- Las partes contratantes declaran expresamente que aceptan el total contenido de las cláusulas que anteceden por estar elaboradas en seguridad de sus respectivos intereses.</w:t>
      </w:r>
    </w:p>
    <w:p>
      <w:pPr>
        <w:spacing w:after="120" w:before="0"/>
        <w:jc w:val="both"/>
      </w:pPr>
      <w:r>
        <w:t>{% endif %}</w:t>
      </w:r>
    </w:p>
    <w:p>
      <w:pPr>
        <w:spacing w:after="120" w:before="0"/>
        <w:jc w:val="both"/>
      </w:pPr>
      <w:r>
        <w:t>Usted, señor Notario, se servirá agregar las demás cláusulas de estilo para la perfecta validez de este tipo de instrumentos.</w:t>
      </w:r>
    </w:p>
    <w:p>
      <w:pPr>
        <w:spacing w:after="120" w:before="0"/>
        <w:jc w:val="both"/>
      </w:pPr>
      <w:r>
        <w:t>AB. {{ abogado.nombre }}</w:t>
        <w:br/>
        <w:t>{% if abogado.tipo_matricula == 'cj' %}MAT. {{ abogado.numero_matricula }}{% else %}MAT. {{ abogado.numero_matricula }} - COLEGIO DE ABOGADOS DE {{ abogado.provincia|upper }}{% endif %}</w:t>
      </w:r>
    </w:p>
    <w:sectPr w:rsidR="005361FE" w:rsidSect="004414A4">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2552"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E1B40" w14:textId="77777777" w:rsidR="004414A4" w:rsidRDefault="004414A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E029" w14:textId="77777777" w:rsidR="004414A4" w:rsidRDefault="004414A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5F2AC" w14:textId="77777777" w:rsidR="004414A4" w:rsidRDefault="004414A4">
    <w:pPr>
      <w:pStyle w:val="Piedepgina"/>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0DA6B" w14:textId="77777777" w:rsidR="004414A4" w:rsidRDefault="004414A4">
    <w:pPr>
      <w:pStyle w:val="Encabezado"/>
    </w:pPr>
    <w:r>
      <w:rPr>
        <w:noProof/>
      </w:rPr>
      <w:pict w14:anchorId="4A6C27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8" o:spid="_x0000_s1025"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77E33" w14:textId="77777777" w:rsidR="004414A4" w:rsidRDefault="004414A4">
    <w:pPr>
      <w:pStyle w:val="Encabezado"/>
    </w:pPr>
    <w:r>
      <w:rPr>
        <w:noProof/>
      </w:rPr>
      <w:pict w14:anchorId="375A9A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9" o:spid="_x0000_s1026"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AFE5" w14:textId="77777777" w:rsidR="004414A4" w:rsidRDefault="004414A4">
    <w:pPr>
      <w:pStyle w:val="Encabezado"/>
    </w:pPr>
    <w:r>
      <w:rPr>
        <w:noProof/>
      </w:rPr>
      <w:pict w14:anchorId="2A7FC5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7" o:spid="_x0000_s1027"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E5175"/>
    <w:multiLevelType w:val="hybridMultilevel"/>
    <w:tmpl w:val="ED0C9A14"/>
    <w:lvl w:ilvl="0" w:tplc="6A7EBEB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6860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4A4"/>
    <w:rsid w:val="000C2DE8"/>
    <w:rsid w:val="001B0C1B"/>
    <w:rsid w:val="00340006"/>
    <w:rsid w:val="003421B4"/>
    <w:rsid w:val="004414A4"/>
    <w:rsid w:val="005361FE"/>
    <w:rsid w:val="006A1DF1"/>
    <w:rsid w:val="00846414"/>
    <w:rsid w:val="008F6E2C"/>
    <w:rsid w:val="00BE07F8"/>
    <w:rsid w:val="00D14939"/>
    <w:rsid w:val="00DC5306"/>
    <w:rsid w:val="00E864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5498DC"/>
  <w15:chartTrackingRefBased/>
  <w15:docId w15:val="{34EA5D12-E7EF-4B83-89C3-F2DECFBB2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A4"/>
    <w:pPr>
      <w:spacing w:after="0" w:line="240" w:lineRule="auto"/>
    </w:pPr>
    <w:rPr>
      <w:kern w:val="0"/>
      <w:sz w:val="24"/>
      <w:szCs w:val="24"/>
      <w:lang w:val="es-EC"/>
      <w14:ligatures w14:val="none"/>
    </w:rPr>
  </w:style>
  <w:style w:type="paragraph" w:styleId="Ttulo1">
    <w:name w:val="heading 1"/>
    <w:basedOn w:val="Normal"/>
    <w:next w:val="Normal"/>
    <w:link w:val="Ttulo1Car"/>
    <w:uiPriority w:val="9"/>
    <w:qFormat/>
    <w:rsid w:val="004414A4"/>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s-ES"/>
      <w14:ligatures w14:val="standardContextual"/>
    </w:rPr>
  </w:style>
  <w:style w:type="paragraph" w:styleId="Ttulo2">
    <w:name w:val="heading 2"/>
    <w:basedOn w:val="Normal"/>
    <w:next w:val="Normal"/>
    <w:link w:val="Ttulo2Car"/>
    <w:uiPriority w:val="9"/>
    <w:semiHidden/>
    <w:unhideWhenUsed/>
    <w:qFormat/>
    <w:rsid w:val="004414A4"/>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s-ES"/>
      <w14:ligatures w14:val="standardContextual"/>
    </w:rPr>
  </w:style>
  <w:style w:type="paragraph" w:styleId="Ttulo3">
    <w:name w:val="heading 3"/>
    <w:basedOn w:val="Normal"/>
    <w:next w:val="Normal"/>
    <w:link w:val="Ttulo3Car"/>
    <w:uiPriority w:val="9"/>
    <w:semiHidden/>
    <w:unhideWhenUsed/>
    <w:qFormat/>
    <w:rsid w:val="004414A4"/>
    <w:pPr>
      <w:keepNext/>
      <w:keepLines/>
      <w:spacing w:before="160" w:after="80" w:line="259" w:lineRule="auto"/>
      <w:outlineLvl w:val="2"/>
    </w:pPr>
    <w:rPr>
      <w:rFonts w:eastAsiaTheme="majorEastAsia" w:cstheme="majorBidi"/>
      <w:color w:val="2F5496" w:themeColor="accent1" w:themeShade="BF"/>
      <w:kern w:val="2"/>
      <w:sz w:val="28"/>
      <w:szCs w:val="28"/>
      <w:lang w:val="es-ES"/>
      <w14:ligatures w14:val="standardContextual"/>
    </w:rPr>
  </w:style>
  <w:style w:type="paragraph" w:styleId="Ttulo4">
    <w:name w:val="heading 4"/>
    <w:basedOn w:val="Normal"/>
    <w:next w:val="Normal"/>
    <w:link w:val="Ttulo4Car"/>
    <w:uiPriority w:val="9"/>
    <w:semiHidden/>
    <w:unhideWhenUsed/>
    <w:qFormat/>
    <w:rsid w:val="004414A4"/>
    <w:pPr>
      <w:keepNext/>
      <w:keepLines/>
      <w:spacing w:before="80" w:after="40" w:line="259" w:lineRule="auto"/>
      <w:outlineLvl w:val="3"/>
    </w:pPr>
    <w:rPr>
      <w:rFonts w:eastAsiaTheme="majorEastAsia" w:cstheme="majorBidi"/>
      <w:i/>
      <w:iCs/>
      <w:color w:val="2F5496" w:themeColor="accent1" w:themeShade="BF"/>
      <w:kern w:val="2"/>
      <w:sz w:val="22"/>
      <w:szCs w:val="22"/>
      <w:lang w:val="es-ES"/>
      <w14:ligatures w14:val="standardContextual"/>
    </w:rPr>
  </w:style>
  <w:style w:type="paragraph" w:styleId="Ttulo5">
    <w:name w:val="heading 5"/>
    <w:basedOn w:val="Normal"/>
    <w:next w:val="Normal"/>
    <w:link w:val="Ttulo5Car"/>
    <w:uiPriority w:val="9"/>
    <w:semiHidden/>
    <w:unhideWhenUsed/>
    <w:qFormat/>
    <w:rsid w:val="004414A4"/>
    <w:pPr>
      <w:keepNext/>
      <w:keepLines/>
      <w:spacing w:before="80" w:after="40" w:line="259" w:lineRule="auto"/>
      <w:outlineLvl w:val="4"/>
    </w:pPr>
    <w:rPr>
      <w:rFonts w:eastAsiaTheme="majorEastAsia" w:cstheme="majorBidi"/>
      <w:color w:val="2F5496" w:themeColor="accent1" w:themeShade="BF"/>
      <w:kern w:val="2"/>
      <w:sz w:val="22"/>
      <w:szCs w:val="22"/>
      <w:lang w:val="es-ES"/>
      <w14:ligatures w14:val="standardContextual"/>
    </w:rPr>
  </w:style>
  <w:style w:type="paragraph" w:styleId="Ttulo6">
    <w:name w:val="heading 6"/>
    <w:basedOn w:val="Normal"/>
    <w:next w:val="Normal"/>
    <w:link w:val="Ttulo6Car"/>
    <w:uiPriority w:val="9"/>
    <w:semiHidden/>
    <w:unhideWhenUsed/>
    <w:qFormat/>
    <w:rsid w:val="004414A4"/>
    <w:pPr>
      <w:keepNext/>
      <w:keepLines/>
      <w:spacing w:before="40" w:line="259" w:lineRule="auto"/>
      <w:outlineLvl w:val="5"/>
    </w:pPr>
    <w:rPr>
      <w:rFonts w:eastAsiaTheme="majorEastAsia" w:cstheme="majorBidi"/>
      <w:i/>
      <w:iCs/>
      <w:color w:val="595959" w:themeColor="text1" w:themeTint="A6"/>
      <w:kern w:val="2"/>
      <w:sz w:val="22"/>
      <w:szCs w:val="22"/>
      <w:lang w:val="es-ES"/>
      <w14:ligatures w14:val="standardContextual"/>
    </w:rPr>
  </w:style>
  <w:style w:type="paragraph" w:styleId="Ttulo7">
    <w:name w:val="heading 7"/>
    <w:basedOn w:val="Normal"/>
    <w:next w:val="Normal"/>
    <w:link w:val="Ttulo7Car"/>
    <w:uiPriority w:val="9"/>
    <w:semiHidden/>
    <w:unhideWhenUsed/>
    <w:qFormat/>
    <w:rsid w:val="004414A4"/>
    <w:pPr>
      <w:keepNext/>
      <w:keepLines/>
      <w:spacing w:before="40" w:line="259" w:lineRule="auto"/>
      <w:outlineLvl w:val="6"/>
    </w:pPr>
    <w:rPr>
      <w:rFonts w:eastAsiaTheme="majorEastAsia" w:cstheme="majorBidi"/>
      <w:color w:val="595959" w:themeColor="text1" w:themeTint="A6"/>
      <w:kern w:val="2"/>
      <w:sz w:val="22"/>
      <w:szCs w:val="22"/>
      <w:lang w:val="es-ES"/>
      <w14:ligatures w14:val="standardContextual"/>
    </w:rPr>
  </w:style>
  <w:style w:type="paragraph" w:styleId="Ttulo8">
    <w:name w:val="heading 8"/>
    <w:basedOn w:val="Normal"/>
    <w:next w:val="Normal"/>
    <w:link w:val="Ttulo8Car"/>
    <w:uiPriority w:val="9"/>
    <w:semiHidden/>
    <w:unhideWhenUsed/>
    <w:qFormat/>
    <w:rsid w:val="004414A4"/>
    <w:pPr>
      <w:keepNext/>
      <w:keepLines/>
      <w:spacing w:line="259" w:lineRule="auto"/>
      <w:outlineLvl w:val="7"/>
    </w:pPr>
    <w:rPr>
      <w:rFonts w:eastAsiaTheme="majorEastAsia" w:cstheme="majorBidi"/>
      <w:i/>
      <w:iCs/>
      <w:color w:val="272727" w:themeColor="text1" w:themeTint="D8"/>
      <w:kern w:val="2"/>
      <w:sz w:val="22"/>
      <w:szCs w:val="22"/>
      <w:lang w:val="es-ES"/>
      <w14:ligatures w14:val="standardContextual"/>
    </w:rPr>
  </w:style>
  <w:style w:type="paragraph" w:styleId="Ttulo9">
    <w:name w:val="heading 9"/>
    <w:basedOn w:val="Normal"/>
    <w:next w:val="Normal"/>
    <w:link w:val="Ttulo9Car"/>
    <w:uiPriority w:val="9"/>
    <w:semiHidden/>
    <w:unhideWhenUsed/>
    <w:qFormat/>
    <w:rsid w:val="004414A4"/>
    <w:pPr>
      <w:keepNext/>
      <w:keepLines/>
      <w:spacing w:line="259" w:lineRule="auto"/>
      <w:outlineLvl w:val="8"/>
    </w:pPr>
    <w:rPr>
      <w:rFonts w:eastAsiaTheme="majorEastAsia" w:cstheme="majorBidi"/>
      <w:color w:val="272727" w:themeColor="text1" w:themeTint="D8"/>
      <w:kern w:val="2"/>
      <w:sz w:val="22"/>
      <w:szCs w:val="22"/>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4A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414A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414A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414A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414A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414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4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4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4A4"/>
    <w:rPr>
      <w:rFonts w:eastAsiaTheme="majorEastAsia" w:cstheme="majorBidi"/>
      <w:color w:val="272727" w:themeColor="text1" w:themeTint="D8"/>
    </w:rPr>
  </w:style>
  <w:style w:type="paragraph" w:styleId="Ttulo">
    <w:name w:val="Title"/>
    <w:basedOn w:val="Normal"/>
    <w:next w:val="Normal"/>
    <w:link w:val="TtuloCar"/>
    <w:uiPriority w:val="10"/>
    <w:qFormat/>
    <w:rsid w:val="004414A4"/>
    <w:pPr>
      <w:spacing w:after="80"/>
      <w:contextualSpacing/>
    </w:pPr>
    <w:rPr>
      <w:rFonts w:asciiTheme="majorHAnsi" w:eastAsiaTheme="majorEastAsia" w:hAnsiTheme="majorHAnsi"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4414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4A4"/>
    <w:pPr>
      <w:numPr>
        <w:ilvl w:val="1"/>
      </w:numPr>
      <w:spacing w:after="160" w:line="259" w:lineRule="auto"/>
    </w:pPr>
    <w:rPr>
      <w:rFonts w:eastAsiaTheme="majorEastAsia" w:cstheme="majorBidi"/>
      <w:color w:val="595959" w:themeColor="text1" w:themeTint="A6"/>
      <w:spacing w:val="15"/>
      <w:kern w:val="2"/>
      <w:sz w:val="28"/>
      <w:szCs w:val="28"/>
      <w:lang w:val="es-ES"/>
      <w14:ligatures w14:val="standardContextual"/>
    </w:rPr>
  </w:style>
  <w:style w:type="character" w:customStyle="1" w:styleId="SubttuloCar">
    <w:name w:val="Subtítulo Car"/>
    <w:basedOn w:val="Fuentedeprrafopredeter"/>
    <w:link w:val="Subttulo"/>
    <w:uiPriority w:val="11"/>
    <w:rsid w:val="004414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4A4"/>
    <w:pPr>
      <w:spacing w:before="160" w:after="160" w:line="259" w:lineRule="auto"/>
      <w:jc w:val="center"/>
    </w:pPr>
    <w:rPr>
      <w:i/>
      <w:iCs/>
      <w:color w:val="404040" w:themeColor="text1" w:themeTint="BF"/>
      <w:kern w:val="2"/>
      <w:sz w:val="22"/>
      <w:szCs w:val="22"/>
      <w:lang w:val="es-ES"/>
      <w14:ligatures w14:val="standardContextual"/>
    </w:rPr>
  </w:style>
  <w:style w:type="character" w:customStyle="1" w:styleId="CitaCar">
    <w:name w:val="Cita Car"/>
    <w:basedOn w:val="Fuentedeprrafopredeter"/>
    <w:link w:val="Cita"/>
    <w:uiPriority w:val="29"/>
    <w:rsid w:val="004414A4"/>
    <w:rPr>
      <w:i/>
      <w:iCs/>
      <w:color w:val="404040" w:themeColor="text1" w:themeTint="BF"/>
    </w:rPr>
  </w:style>
  <w:style w:type="paragraph" w:styleId="Prrafodelista">
    <w:name w:val="List Paragraph"/>
    <w:basedOn w:val="Normal"/>
    <w:uiPriority w:val="34"/>
    <w:qFormat/>
    <w:rsid w:val="004414A4"/>
    <w:pPr>
      <w:spacing w:after="160" w:line="259" w:lineRule="auto"/>
      <w:ind w:left="720"/>
      <w:contextualSpacing/>
    </w:pPr>
    <w:rPr>
      <w:kern w:val="2"/>
      <w:sz w:val="22"/>
      <w:szCs w:val="22"/>
      <w:lang w:val="es-ES"/>
      <w14:ligatures w14:val="standardContextual"/>
    </w:rPr>
  </w:style>
  <w:style w:type="character" w:styleId="nfasisintenso">
    <w:name w:val="Intense Emphasis"/>
    <w:basedOn w:val="Fuentedeprrafopredeter"/>
    <w:uiPriority w:val="21"/>
    <w:qFormat/>
    <w:rsid w:val="004414A4"/>
    <w:rPr>
      <w:i/>
      <w:iCs/>
      <w:color w:val="2F5496" w:themeColor="accent1" w:themeShade="BF"/>
    </w:rPr>
  </w:style>
  <w:style w:type="paragraph" w:styleId="Citadestacada">
    <w:name w:val="Intense Quote"/>
    <w:basedOn w:val="Normal"/>
    <w:next w:val="Normal"/>
    <w:link w:val="CitadestacadaCar"/>
    <w:uiPriority w:val="30"/>
    <w:qFormat/>
    <w:rsid w:val="004414A4"/>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kern w:val="2"/>
      <w:sz w:val="22"/>
      <w:szCs w:val="22"/>
      <w:lang w:val="es-ES"/>
      <w14:ligatures w14:val="standardContextual"/>
    </w:rPr>
  </w:style>
  <w:style w:type="character" w:customStyle="1" w:styleId="CitadestacadaCar">
    <w:name w:val="Cita destacada Car"/>
    <w:basedOn w:val="Fuentedeprrafopredeter"/>
    <w:link w:val="Citadestacada"/>
    <w:uiPriority w:val="30"/>
    <w:rsid w:val="004414A4"/>
    <w:rPr>
      <w:i/>
      <w:iCs/>
      <w:color w:val="2F5496" w:themeColor="accent1" w:themeShade="BF"/>
    </w:rPr>
  </w:style>
  <w:style w:type="character" w:styleId="Referenciaintensa">
    <w:name w:val="Intense Reference"/>
    <w:basedOn w:val="Fuentedeprrafopredeter"/>
    <w:uiPriority w:val="32"/>
    <w:qFormat/>
    <w:rsid w:val="004414A4"/>
    <w:rPr>
      <w:b/>
      <w:bCs/>
      <w:smallCaps/>
      <w:color w:val="2F5496" w:themeColor="accent1" w:themeShade="BF"/>
      <w:spacing w:val="5"/>
    </w:rPr>
  </w:style>
  <w:style w:type="paragraph" w:styleId="Encabezado">
    <w:name w:val="header"/>
    <w:basedOn w:val="Normal"/>
    <w:link w:val="EncabezadoCar"/>
    <w:uiPriority w:val="99"/>
    <w:unhideWhenUsed/>
    <w:rsid w:val="004414A4"/>
    <w:pPr>
      <w:tabs>
        <w:tab w:val="center" w:pos="4680"/>
        <w:tab w:val="right" w:pos="9360"/>
      </w:tabs>
    </w:pPr>
  </w:style>
  <w:style w:type="character" w:customStyle="1" w:styleId="EncabezadoCar">
    <w:name w:val="Encabezado Car"/>
    <w:basedOn w:val="Fuentedeprrafopredeter"/>
    <w:link w:val="Encabezado"/>
    <w:uiPriority w:val="99"/>
    <w:rsid w:val="004414A4"/>
    <w:rPr>
      <w:kern w:val="0"/>
      <w:sz w:val="24"/>
      <w:szCs w:val="24"/>
      <w:lang w:val="es-EC"/>
      <w14:ligatures w14:val="none"/>
    </w:rPr>
  </w:style>
  <w:style w:type="paragraph" w:styleId="Piedepgina">
    <w:name w:val="footer"/>
    <w:basedOn w:val="Normal"/>
    <w:link w:val="PiedepginaCar"/>
    <w:uiPriority w:val="99"/>
    <w:unhideWhenUsed/>
    <w:rsid w:val="004414A4"/>
    <w:pPr>
      <w:tabs>
        <w:tab w:val="center" w:pos="4680"/>
        <w:tab w:val="right" w:pos="9360"/>
      </w:tabs>
    </w:pPr>
  </w:style>
  <w:style w:type="character" w:customStyle="1" w:styleId="PiedepginaCar">
    <w:name w:val="Pie de página Car"/>
    <w:basedOn w:val="Fuentedeprrafopredeter"/>
    <w:link w:val="Piedepgina"/>
    <w:uiPriority w:val="99"/>
    <w:rsid w:val="004414A4"/>
    <w:rPr>
      <w:kern w:val="0"/>
      <w:sz w:val="24"/>
      <w:szCs w:val="24"/>
      <w:lang w:val="es-EC"/>
      <w14:ligatures w14:val="none"/>
    </w:rPr>
  </w:style>
  <w:style w:type="character" w:styleId="Hipervnculo">
    <w:name w:val="Hyperlink"/>
    <w:basedOn w:val="Fuentedeprrafopredeter"/>
    <w:uiPriority w:val="99"/>
    <w:unhideWhenUsed/>
    <w:rsid w:val="004414A4"/>
    <w:rPr>
      <w:color w:val="0563C1" w:themeColor="hyperlink"/>
      <w:u w:val="single"/>
    </w:rPr>
  </w:style>
  <w:style w:type="table" w:styleId="Tablaconcuadrcula">
    <w:name w:val="Table Grid"/>
    <w:basedOn w:val="Tablanormal"/>
    <w:uiPriority w:val="39"/>
    <w:rsid w:val="004414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iela.vera.soza@gmail.com"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amejia@notaria22quito.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pfausto51@gmail.com" TargetMode="External"/><Relationship Id="rId11" Type="http://schemas.openxmlformats.org/officeDocument/2006/relationships/footer" Target="footer1.xml"/><Relationship Id="rId5" Type="http://schemas.openxmlformats.org/officeDocument/2006/relationships/hyperlink" Target="mailto:pfausto51@gmail.com" TargetMode="Externa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17</Pages>
  <Words>5820</Words>
  <Characters>31725</Characters>
  <Application>Microsoft Office Word</Application>
  <DocSecurity>0</DocSecurity>
  <Lines>587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David Mejía Viteri</dc:creator>
  <cp:keywords/>
  <dc:description/>
  <cp:lastModifiedBy>Alex David Mejía Viteri</cp:lastModifiedBy>
  <cp:revision>1</cp:revision>
  <dcterms:created xsi:type="dcterms:W3CDTF">2026-02-22T22:00:00Z</dcterms:created>
  <dcterms:modified xsi:type="dcterms:W3CDTF">2026-02-22T23:27:00Z</dcterms:modified>
</cp:coreProperties>
</file>