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B3A6B"/>
          <w:sz w:val="72"/>
          <w:szCs w:val="72"/>
        </w:rPr>
        <w:t xml:space="preserve">FORA</w:t>
      </w:r>
    </w:p>
    <w:p>
      <w:pPr>
        <w:spacing w:before="0" w:after="200"/>
        <w:jc w:val="center"/>
      </w:pPr>
      <w:r>
        <w:rPr>
          <w:rFonts w:ascii="Arial" w:cs="Arial" w:eastAsia="Arial" w:hAnsi="Arial"/>
          <w:i/>
          <w:iCs/>
          <w:color w:val="5A6E8A"/>
          <w:sz w:val="28"/>
          <w:szCs w:val="28"/>
        </w:rPr>
        <w:t xml:space="preserve">Civic Platform</w:t>
      </w:r>
    </w:p>
    <w:p>
      <w:pPr>
        <w:pBdr>
          <w:bottom w:val="single" w:color="B8860B" w:sz="3" w:space="1"/>
        </w:pBdr>
        <w:spacing w:before="80" w:after="80"/>
      </w:pPr>
      <w:r>
        <w:rPr>
          <w:rFonts w:ascii="Arial" w:cs="Arial" w:eastAsia="Arial" w:hAnsi="Arial"/>
          <w:sz w:val="4"/>
          <w:szCs w:val="4"/>
        </w:rPr>
        <w:t xml:space="preserve"/>
      </w:r>
    </w:p>
    <w:p>
      <w:pPr>
        <w:spacing w:before="200" w:after="40"/>
        <w:jc w:val="center"/>
      </w:pPr>
      <w:r>
        <w:rPr>
          <w:rFonts w:ascii="Arial" w:cs="Arial" w:eastAsia="Arial" w:hAnsi="Arial"/>
          <w:b/>
          <w:bCs/>
          <w:color w:val="0E1A2E"/>
          <w:sz w:val="44"/>
          <w:szCs w:val="44"/>
        </w:rPr>
        <w:t xml:space="preserve">Community Standards</w:t>
      </w:r>
    </w:p>
    <w:p>
      <w:pPr>
        <w:spacing w:before="0" w:after="80"/>
        <w:jc w:val="center"/>
      </w:pPr>
      <w:r>
        <w:rPr>
          <w:rFonts w:ascii="Arial" w:cs="Arial" w:eastAsia="Arial" w:hAnsi="Arial"/>
          <w:b/>
          <w:bCs/>
          <w:color w:val="0E1A2E"/>
          <w:sz w:val="44"/>
          <w:szCs w:val="44"/>
        </w:rPr>
        <w:t xml:space="preserve">&amp; Editorial Policy</w:t>
      </w:r>
    </w:p>
    <w:p>
      <w:pPr>
        <w:spacing w:before="0" w:after="80"/>
        <w:jc w:val="center"/>
      </w:pPr>
      <w:r>
        <w:rPr>
          <w:rFonts w:ascii="Arial" w:cs="Arial" w:eastAsia="Arial" w:hAnsi="Arial"/>
          <w:color w:val="5A6E8A"/>
          <w:sz w:val="20"/>
          <w:szCs w:val="20"/>
        </w:rPr>
        <w:t xml:space="preserve">Version 1.0  –  Confidential Draft</w:t>
      </w:r>
    </w:p>
    <w:p>
      <w:pPr>
        <w:spacing w:before="0" w:after="400"/>
        <w:jc w:val="center"/>
      </w:pPr>
      <w:r>
        <w:rPr>
          <w:rFonts w:ascii="Arial" w:cs="Arial" w:eastAsia="Arial" w:hAnsi="Arial"/>
          <w:color w:val="5A6E8A"/>
          <w:sz w:val="20"/>
          <w:szCs w:val="20"/>
        </w:rPr>
        <w:t xml:space="preserve">Effective Date: [To be determined upon launch]</w:t>
      </w:r>
    </w:p>
    <w:p>
      <w:pPr>
        <w:pBdr>
          <w:bottom w:val="single" w:color="1B3A6B" w:sz="6" w:space="1"/>
        </w:pBdr>
        <w:spacing w:before="120" w:after="120"/>
      </w:pPr>
      <w:r>
        <w:rPr>
          <w:rFonts w:ascii="Arial" w:cs="Arial" w:eastAsia="Arial" w:hAnsi="Arial"/>
          <w:sz w:val="4"/>
          <w:szCs w:val="4"/>
        </w:rPr>
        <w:t xml:space="preserve"/>
      </w:r>
    </w:p>
    <w:p>
      <w:pPr>
        <w:spacing w:before="0" w:after="20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What This Document Is</w:t>
      </w:r>
    </w:p>
    <w:p>
      <w:pPr>
        <w:spacing w:before="0" w:after="140" w:line="290"/>
      </w:pPr>
      <w:r>
        <w:rPr>
          <w:rFonts w:ascii="Arial" w:cs="Arial" w:eastAsia="Arial" w:hAnsi="Arial"/>
          <w:i w:val="false"/>
          <w:iCs w:val="false"/>
          <w:color w:val="0E1A2E"/>
          <w:sz w:val="22"/>
          <w:szCs w:val="22"/>
        </w:rPr>
        <w:t xml:space="preserve">FORA is not a neutral platform. It makes editorial decisions every time it publishes a jurisdiction page, designates a non-governmental entity, characterizes a political conflict, or presents a casualty figure. This document explains the standards that govern those decisions — and the process by which any registered user can challenge them.</w:t>
      </w:r>
    </w:p>
    <w:p>
      <w:pPr>
        <w:spacing w:before="0" w:after="140" w:line="290"/>
      </w:pPr>
      <w:r>
        <w:rPr>
          <w:rFonts w:ascii="Arial" w:cs="Arial" w:eastAsia="Arial" w:hAnsi="Arial"/>
          <w:i w:val="false"/>
          <w:iCs w:val="false"/>
          <w:color w:val="0E1A2E"/>
          <w:sz w:val="22"/>
          <w:szCs w:val="22"/>
        </w:rPr>
        <w:t xml:space="preserve">Most platform community standards tell users what they cannot post. This document does that too. But it also explains what FORA itself puts on the platform, by what authority, and how the community can dispute it through the deliberation system. These are different and equally important questions for a civic platform that aspires to be trusted.</w:t>
      </w:r>
    </w:p>
    <w:p>
      <w:pPr>
        <w:spacing w:before="0" w:after="140" w:line="290"/>
      </w:pPr>
      <w:r>
        <w:rPr>
          <w:rFonts w:ascii="Arial" w:cs="Arial" w:eastAsia="Arial" w:hAnsi="Arial"/>
          <w:i w:val="false"/>
          <w:iCs w:val="false"/>
          <w:color w:val="0E1A2E"/>
          <w:sz w:val="22"/>
          <w:szCs w:val="22"/>
        </w:rPr>
        <w:t xml:space="preserve">This document has two parts. The first covers FORA’s editorial standards — how FORA produces and maintains content on the platform. The second covers user conduct standards — how users are expected to engage in discourse. Both parts are binding. Both parts are subject to review. Neither part is subject to the standard amendment process available to regular platform content — Community Standards are a separate governance tier, controlled by FORA’s Editorial Board during the formative period.</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Governance note:  </w:t>
      </w:r>
      <w:r>
        <w:rPr>
          <w:rFonts w:ascii="Arial" w:cs="Arial" w:eastAsia="Arial" w:hAnsi="Arial"/>
          <w:color w:val="6b4f00"/>
          <w:sz w:val="19"/>
          <w:szCs w:val="19"/>
        </w:rPr>
        <w:t xml:space="preserve">The Editorial Board’s composition is published in FORA’s annual Transparency Report. Changes to this document require Editorial Board approval. The criteria for transitioning Community Standards governance to community control will be published in the Transparency Report.</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spacing w:before="240" w:after="160"/>
      </w:pPr>
      <w:r>
        <w:rPr>
          <w:rFonts w:ascii="Arial" w:cs="Arial" w:eastAsia="Arial" w:hAnsi="Arial"/>
          <w:b/>
          <w:bCs/>
          <w:color w:val="1B3A6B"/>
          <w:sz w:val="32"/>
          <w:szCs w:val="32"/>
        </w:rPr>
        <w:t xml:space="preserve">Part One — Editorial Standards</w:t>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1. Editorial Authority</w:t>
      </w:r>
    </w:p>
    <w:p>
      <w:pPr>
        <w:spacing w:before="0" w:after="180"/>
        <w:ind w:left="360"/>
      </w:pPr>
      <w:r>
        <w:rPr>
          <w:rFonts w:ascii="Arial" w:cs="Arial" w:eastAsia="Arial" w:hAnsi="Arial"/>
          <w:i/>
          <w:iCs/>
          <w:color w:val="5A6E8A"/>
          <w:sz w:val="18"/>
          <w:szCs w:val="18"/>
        </w:rPr>
        <w:t xml:space="preserve">Who produces FORA content and by what standard</w:t>
      </w:r>
    </w:p>
    <w:p>
      <w:pPr>
        <w:spacing w:before="0" w:after="140" w:line="290"/>
      </w:pPr>
      <w:r>
        <w:rPr>
          <w:rFonts w:ascii="Arial" w:cs="Arial" w:eastAsia="Arial" w:hAnsi="Arial"/>
          <w:i w:val="false"/>
          <w:iCs w:val="false"/>
          <w:color w:val="0E1A2E"/>
          <w:sz w:val="22"/>
          <w:szCs w:val="22"/>
        </w:rPr>
        <w:t xml:space="preserve">FORA content — jurisdiction pages, NGE profiles, bill summaries, issue framing — is produced by FORA’s editorial staff under the authority of the Editorial Board. Contributors may be staff, commissioned researchers, or community members whose contributions have been reviewed and approved through the editorial process. The byline on any FORA content is “FORA Editorial” unless otherwise noted.</w:t>
      </w:r>
    </w:p>
    <w:p>
      <w:pPr>
        <w:spacing w:before="0" w:after="140" w:line="290"/>
      </w:pPr>
      <w:r>
        <w:rPr>
          <w:rFonts w:ascii="Arial" w:cs="Arial" w:eastAsia="Arial" w:hAnsi="Arial"/>
          <w:i w:val="false"/>
          <w:iCs w:val="false"/>
          <w:color w:val="0E1A2E"/>
          <w:sz w:val="22"/>
          <w:szCs w:val="22"/>
        </w:rPr>
        <w:t xml:space="preserve">The standard for publication is accuracy, sourcing, and civic relevance. FORA content is not opinion. It is a factual record, built from sourced claims, designed to give users the context they need to form their own judgments. FORA does not write editorials. It does not endorse candidates, parties, governments, or movements.</w:t>
      </w:r>
    </w:p>
    <w:p>
      <w:pPr>
        <w:spacing w:before="0" w:after="140" w:line="290"/>
      </w:pPr>
      <w:r>
        <w:rPr>
          <w:rFonts w:ascii="Arial" w:cs="Arial" w:eastAsia="Arial" w:hAnsi="Arial"/>
          <w:i w:val="false"/>
          <w:iCs w:val="false"/>
          <w:color w:val="0E1A2E"/>
          <w:sz w:val="22"/>
          <w:szCs w:val="22"/>
        </w:rPr>
        <w:t xml:space="preserve">Every factual claim on a FORA content page must be traceable to a source in the tier system described in Section 2. Claims that cannot be sourced are not published. Claims whose sourcing is contested are presented with that contest acknowledged.</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2. Source Tiers</w:t>
      </w:r>
    </w:p>
    <w:p>
      <w:pPr>
        <w:spacing w:before="0" w:after="180"/>
        <w:ind w:left="360"/>
      </w:pPr>
      <w:r>
        <w:rPr>
          <w:rFonts w:ascii="Arial" w:cs="Arial" w:eastAsia="Arial" w:hAnsi="Arial"/>
          <w:i/>
          <w:iCs/>
          <w:color w:val="5A6E8A"/>
          <w:sz w:val="18"/>
          <w:szCs w:val="18"/>
        </w:rPr>
        <w:t xml:space="preserve">The three-tier sourcing standard</w:t>
      </w:r>
    </w:p>
    <w:p>
      <w:pPr>
        <w:spacing w:before="0" w:after="140" w:line="290"/>
      </w:pPr>
      <w:r>
        <w:rPr>
          <w:rFonts w:ascii="Arial" w:cs="Arial" w:eastAsia="Arial" w:hAnsi="Arial"/>
          <w:i w:val="false"/>
          <w:iCs w:val="false"/>
          <w:color w:val="0E1A2E"/>
          <w:sz w:val="22"/>
          <w:szCs w:val="22"/>
        </w:rPr>
        <w:t xml:space="preserve">FORA uses a three-tier sourcing framework. The tier of a source determines how it is used — what weight it carries, how it is attributed, and whether it can stand alone as the basis for a contested factual claim.</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5DCE8" w:sz="1"/>
              <w:left w:val="single" w:color="D5DCE8" w:sz="1"/>
              <w:bottom w:val="single" w:color="D5DCE8" w:sz="1"/>
              <w:right w:val="single" w:color="D5DC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Tier 1 — Primary</w:t>
            </w:r>
          </w:p>
        </w:tc>
        <w:tc>
          <w:tcPr>
            <w:tcW w:type="dxa" w:w="3120"/>
            <w:tcBorders>
              <w:top w:val="single" w:color="D5DCE8" w:sz="1"/>
              <w:left w:val="single" w:color="D5DCE8" w:sz="1"/>
              <w:bottom w:val="single" w:color="D5DCE8" w:sz="1"/>
              <w:right w:val="single" w:color="D5DCE8" w:sz="1"/>
            </w:tcBorders>
            <w:shd w:fill="2C3E5A" w:val="clear"/>
            <w:tcMar>
              <w:top w:type="dxa" w:w="80"/>
              <w:left w:type="dxa" w:w="120"/>
              <w:bottom w:type="dxa" w:w="80"/>
              <w:right w:type="dxa" w:w="120"/>
            </w:tcMar>
          </w:tcPr>
          <w:p>
            <w:r>
              <w:rPr>
                <w:rFonts w:ascii="Arial" w:cs="Arial" w:eastAsia="Arial" w:hAnsi="Arial"/>
                <w:b/>
                <w:bCs/>
                <w:color w:val="FFFFFF"/>
                <w:sz w:val="20"/>
                <w:szCs w:val="20"/>
              </w:rPr>
              <w:t xml:space="preserve">Tier 2 — Secondary</w:t>
            </w:r>
          </w:p>
        </w:tc>
        <w:tc>
          <w:tcPr>
            <w:tcW w:type="dxa" w:w="3120"/>
            <w:tcBorders>
              <w:top w:val="single" w:color="D5DCE8" w:sz="1"/>
              <w:left w:val="single" w:color="D5DCE8" w:sz="1"/>
              <w:bottom w:val="single" w:color="D5DCE8" w:sz="1"/>
              <w:right w:val="single" w:color="D5DCE8" w:sz="1"/>
            </w:tcBorders>
            <w:shd w:fill="5A6E8A" w:val="clear"/>
            <w:tcMar>
              <w:top w:type="dxa" w:w="80"/>
              <w:left w:type="dxa" w:w="120"/>
              <w:bottom w:type="dxa" w:w="80"/>
              <w:right w:type="dxa" w:w="120"/>
            </w:tcMar>
          </w:tcPr>
          <w:p>
            <w:r>
              <w:rPr>
                <w:rFonts w:ascii="Arial" w:cs="Arial" w:eastAsia="Arial" w:hAnsi="Arial"/>
                <w:b/>
                <w:bCs/>
                <w:color w:val="FFFFFF"/>
                <w:sz w:val="20"/>
                <w:szCs w:val="20"/>
              </w:rPr>
              <w:t xml:space="preserve">Tier 3 — Contextual</w:t>
            </w:r>
          </w:p>
        </w:tc>
      </w:tr>
      <w:tr>
        <w:tc>
          <w:tcPr>
            <w:tcW w:type="dxa" w:w="3120"/>
            <w:tcBorders>
              <w:top w:val="single" w:color="D5DCE8" w:sz="1"/>
              <w:left w:val="single" w:color="D5DCE8" w:sz="1"/>
              <w:bottom w:val="single" w:color="D5DCE8" w:sz="1"/>
              <w:right w:val="single" w:color="D5DCE8" w:sz="1"/>
            </w:tcBorders>
            <w:shd w:fill="F0F4FA" w:val="clear"/>
            <w:tcMar>
              <w:top w:type="dxa" w:w="80"/>
              <w:left w:type="dxa" w:w="120"/>
              <w:bottom w:type="dxa" w:w="80"/>
              <w:right w:type="dxa" w:w="120"/>
            </w:tcMar>
          </w:tcPr>
          <w:p>
            <w:r>
              <w:rPr>
                <w:rFonts w:ascii="Arial" w:cs="Arial" w:eastAsia="Arial" w:hAnsi="Arial"/>
                <w:color w:val="0E1A2E"/>
                <w:sz w:val="19"/>
                <w:szCs w:val="19"/>
              </w:rPr>
              <w:t xml:space="preserve">Government records, legislation, court documents, official statistics, peer-reviewed research</w:t>
            </w:r>
          </w:p>
        </w:tc>
        <w:tc>
          <w:tcPr>
            <w:tcW w:type="dxa" w:w="3120"/>
            <w:tcBorders>
              <w:top w:val="single" w:color="D5DCE8" w:sz="1"/>
              <w:left w:val="single" w:color="D5DCE8" w:sz="1"/>
              <w:bottom w:val="single" w:color="D5DCE8" w:sz="1"/>
              <w:right w:val="single" w:color="D5DCE8" w:sz="1"/>
            </w:tcBorders>
            <w:shd w:fill="F7F9FC" w:val="clear"/>
            <w:tcMar>
              <w:top w:type="dxa" w:w="80"/>
              <w:left w:type="dxa" w:w="120"/>
              <w:bottom w:type="dxa" w:w="80"/>
              <w:right w:type="dxa" w:w="120"/>
            </w:tcMar>
          </w:tcPr>
          <w:p>
            <w:r>
              <w:rPr>
                <w:rFonts w:ascii="Arial" w:cs="Arial" w:eastAsia="Arial" w:hAnsi="Arial"/>
                <w:color w:val="0E1A2E"/>
                <w:sz w:val="19"/>
                <w:szCs w:val="19"/>
              </w:rPr>
              <w:t xml:space="preserve">Established news organizations with editorial standards, international wire services, major newspapers of record</w:t>
            </w:r>
          </w:p>
        </w:tc>
        <w:tc>
          <w:tcPr>
            <w:tcW w:type="dxa" w:w="3120"/>
            <w:tcBorders>
              <w:top w:val="single" w:color="D5DCE8" w:sz="1"/>
              <w:left w:val="single" w:color="D5DCE8" w:sz="1"/>
              <w:bottom w:val="single" w:color="D5DCE8" w:sz="1"/>
              <w:right w:val="single" w:color="D5DCE8" w:sz="1"/>
            </w:tcBorders>
            <w:shd w:fill="FAFBFD" w:val="clear"/>
            <w:tcMar>
              <w:top w:type="dxa" w:w="80"/>
              <w:left w:type="dxa" w:w="120"/>
              <w:bottom w:type="dxa" w:w="80"/>
              <w:right w:type="dxa" w:w="120"/>
            </w:tcMar>
          </w:tcPr>
          <w:p>
            <w:r>
              <w:rPr>
                <w:rFonts w:ascii="Arial" w:cs="Arial" w:eastAsia="Arial" w:hAnsi="Arial"/>
                <w:color w:val="0E1A2E"/>
                <w:sz w:val="19"/>
                <w:szCs w:val="19"/>
              </w:rPr>
              <w:t xml:space="preserve">Advocacy organizations, think tanks, NGOs — used with explicit attribution and acknowledgment of institutional perspective</w:t>
            </w:r>
          </w:p>
        </w:tc>
      </w:tr>
      <w:tr>
        <w:tc>
          <w:tcPr>
            <w:tcW w:type="dxa" w:w="3120"/>
            <w:tcBorders>
              <w:top w:val="single" w:color="D5DCE8" w:sz="1"/>
              <w:left w:val="single" w:color="D5DCE8" w:sz="1"/>
              <w:bottom w:val="single" w:color="D5DCE8" w:sz="1"/>
              <w:right w:val="single" w:color="D5DCE8" w:sz="1"/>
            </w:tcBorders>
            <w:shd w:fill="F0F4FA" w:val="clear"/>
            <w:tcMar>
              <w:top w:type="dxa" w:w="80"/>
              <w:left w:type="dxa" w:w="120"/>
              <w:bottom w:type="dxa" w:w="80"/>
              <w:right w:type="dxa" w:w="120"/>
            </w:tcMar>
          </w:tcPr>
          <w:p>
            <w:r>
              <w:rPr>
                <w:rFonts w:ascii="Arial" w:cs="Arial" w:eastAsia="Arial" w:hAnsi="Arial"/>
                <w:color w:val="0E1A2E"/>
                <w:sz w:val="19"/>
                <w:szCs w:val="19"/>
              </w:rPr>
              <w:t xml:space="preserve">UN treaty databases, congressional record, Federal Register, state supreme court opinions</w:t>
            </w:r>
          </w:p>
        </w:tc>
        <w:tc>
          <w:tcPr>
            <w:tcW w:type="dxa" w:w="3120"/>
            <w:tcBorders>
              <w:top w:val="single" w:color="D5DCE8" w:sz="1"/>
              <w:left w:val="single" w:color="D5DCE8" w:sz="1"/>
              <w:bottom w:val="single" w:color="D5DCE8" w:sz="1"/>
              <w:right w:val="single" w:color="D5DCE8" w:sz="1"/>
            </w:tcBorders>
            <w:shd w:fill="F7F9FC" w:val="clear"/>
            <w:tcMar>
              <w:top w:type="dxa" w:w="80"/>
              <w:left w:type="dxa" w:w="120"/>
              <w:bottom w:type="dxa" w:w="80"/>
              <w:right w:type="dxa" w:w="120"/>
            </w:tcMar>
          </w:tcPr>
          <w:p>
            <w:r>
              <w:rPr>
                <w:rFonts w:ascii="Arial" w:cs="Arial" w:eastAsia="Arial" w:hAnsi="Arial"/>
                <w:color w:val="0E1A2E"/>
                <w:sz w:val="19"/>
                <w:szCs w:val="19"/>
              </w:rPr>
              <w:t xml:space="preserve">Reuters, AP, BBC, Al Jazeera, NYT, Washington Post, The Guardian — used for current events and developing situations</w:t>
            </w:r>
          </w:p>
        </w:tc>
        <w:tc>
          <w:tcPr>
            <w:tcW w:type="dxa" w:w="3120"/>
            <w:tcBorders>
              <w:top w:val="single" w:color="D5DCE8" w:sz="1"/>
              <w:left w:val="single" w:color="D5DCE8" w:sz="1"/>
              <w:bottom w:val="single" w:color="D5DCE8" w:sz="1"/>
              <w:right w:val="single" w:color="D5DCE8" w:sz="1"/>
            </w:tcBorders>
            <w:shd w:fill="FAFBFD" w:val="clear"/>
            <w:tcMar>
              <w:top w:type="dxa" w:w="80"/>
              <w:left w:type="dxa" w:w="120"/>
              <w:bottom w:type="dxa" w:w="80"/>
              <w:right w:type="dxa" w:w="120"/>
            </w:tcMar>
          </w:tcPr>
          <w:p>
            <w:r>
              <w:rPr>
                <w:rFonts w:ascii="Arial" w:cs="Arial" w:eastAsia="Arial" w:hAnsi="Arial"/>
                <w:color w:val="0E1A2E"/>
                <w:sz w:val="19"/>
                <w:szCs w:val="19"/>
              </w:rPr>
              <w:t xml:space="preserve">Human Rights Watch, Amnesty International, AIPAC, J Street — used when the institutional perspective is itself the subject</w:t>
            </w:r>
          </w:p>
        </w:tc>
      </w:tr>
      <w:tr>
        <w:tc>
          <w:tcPr>
            <w:tcW w:type="dxa" w:w="3120"/>
            <w:tcBorders>
              <w:top w:val="single" w:color="D5DCE8" w:sz="1"/>
              <w:left w:val="single" w:color="D5DCE8" w:sz="1"/>
              <w:bottom w:val="single" w:color="D5DCE8" w:sz="1"/>
              <w:right w:val="single" w:color="D5DCE8" w:sz="1"/>
            </w:tcBorders>
            <w:shd w:fill="EAF0F8" w:val="clear"/>
            <w:tcMar>
              <w:top w:type="dxa" w:w="80"/>
              <w:left w:type="dxa" w:w="120"/>
              <w:bottom w:type="dxa" w:w="80"/>
              <w:right w:type="dxa" w:w="120"/>
            </w:tcMar>
          </w:tcPr>
          <w:p>
            <w:r>
              <w:rPr>
                <w:rFonts w:ascii="Arial" w:cs="Arial" w:eastAsia="Arial" w:hAnsi="Arial"/>
                <w:color w:val="0E1A2E"/>
                <w:sz w:val="19"/>
                <w:szCs w:val="19"/>
              </w:rPr>
              <w:t xml:space="preserve">Weight: Authoritative. Used without qualification.</w:t>
            </w:r>
          </w:p>
        </w:tc>
        <w:tc>
          <w:tcPr>
            <w:tcW w:type="dxa" w:w="3120"/>
            <w:tcBorders>
              <w:top w:val="single" w:color="D5DCE8" w:sz="1"/>
              <w:left w:val="single" w:color="D5DCE8" w:sz="1"/>
              <w:bottom w:val="single" w:color="D5DCE8" w:sz="1"/>
              <w:right w:val="single" w:color="D5DCE8" w:sz="1"/>
            </w:tcBorders>
            <w:shd w:fill="F2F6FB" w:val="clear"/>
            <w:tcMar>
              <w:top w:type="dxa" w:w="80"/>
              <w:left w:type="dxa" w:w="120"/>
              <w:bottom w:type="dxa" w:w="80"/>
              <w:right w:type="dxa" w:w="120"/>
            </w:tcMar>
          </w:tcPr>
          <w:p>
            <w:r>
              <w:rPr>
                <w:rFonts w:ascii="Arial" w:cs="Arial" w:eastAsia="Arial" w:hAnsi="Arial"/>
                <w:color w:val="0E1A2E"/>
                <w:sz w:val="19"/>
                <w:szCs w:val="19"/>
              </w:rPr>
              <w:t xml:space="preserve">Weight: High. Used with source citation. Known biases disclosed where relevant.</w:t>
            </w:r>
          </w:p>
        </w:tc>
        <w:tc>
          <w:tcPr>
            <w:tcW w:type="dxa" w:w="3120"/>
            <w:tcBorders>
              <w:top w:val="single" w:color="D5DCE8" w:sz="1"/>
              <w:left w:val="single" w:color="D5DCE8" w:sz="1"/>
              <w:bottom w:val="single" w:color="D5DCE8" w:sz="1"/>
              <w:right w:val="single" w:color="D5DCE8" w:sz="1"/>
            </w:tcBorders>
            <w:shd w:fill="F5F8FD" w:val="clear"/>
            <w:tcMar>
              <w:top w:type="dxa" w:w="80"/>
              <w:left w:type="dxa" w:w="120"/>
              <w:bottom w:type="dxa" w:w="80"/>
              <w:right w:type="dxa" w:w="120"/>
            </w:tcMar>
          </w:tcPr>
          <w:p>
            <w:r>
              <w:rPr>
                <w:rFonts w:ascii="Arial" w:cs="Arial" w:eastAsia="Arial" w:hAnsi="Arial"/>
                <w:color w:val="0E1A2E"/>
                <w:sz w:val="19"/>
                <w:szCs w:val="19"/>
              </w:rPr>
              <w:t xml:space="preserve">Weight: Contextual. Always attributed. Never used as the sole source for a contested factual claim.</w:t>
            </w:r>
          </w:p>
        </w:tc>
      </w:tr>
    </w:tbl>
    <w:p>
      <w:pPr>
        <w:spacing w:before="0" w:after="120"/>
      </w:pPr>
      <w:r>
        <w:rPr>
          <w:rFonts w:ascii="Arial" w:cs="Arial" w:eastAsia="Arial" w:hAnsi="Arial"/>
          <w:sz w:val="22"/>
          <w:szCs w:val="22"/>
        </w:rPr>
        <w:t xml:space="preserve"/>
      </w:r>
    </w:p>
    <w:p>
      <w:pPr>
        <w:spacing w:before="0" w:after="140" w:line="290"/>
      </w:pPr>
      <w:r>
        <w:rPr>
          <w:rFonts w:ascii="Arial" w:cs="Arial" w:eastAsia="Arial" w:hAnsi="Arial"/>
          <w:i w:val="false"/>
          <w:iCs w:val="false"/>
          <w:color w:val="0E1A2E"/>
          <w:sz w:val="22"/>
          <w:szCs w:val="22"/>
        </w:rPr>
        <w:t xml:space="preserve">No Tier 3 source may be used as the sole basis for a contested factual claim. When Tier 3 sources are used, the institutional perspective of the source is disclosed. A claim like “according to Human Rights Watch” is acceptable. A claim like “[fact], per Human Rights Watch” presented as settled fact is not.</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On wire services and international coverage:  </w:t>
      </w:r>
      <w:r>
        <w:rPr>
          <w:rFonts w:ascii="Arial" w:cs="Arial" w:eastAsia="Arial" w:hAnsi="Arial"/>
          <w:color w:val="6b4f00"/>
          <w:sz w:val="19"/>
          <w:szCs w:val="19"/>
        </w:rPr>
        <w:t xml:space="preserve">For developing situations — active conflicts, ongoing elections, breaking events — FORA relies primarily on Tier 2 wire services (Reuters, AP, AFP) with explicit datelines. Coverage from regional outlets that may have closer access but less editorial standardization is used as supplementary context, attributed explicitly, and not used as the primary source for contested claims.</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3. Contested Empirical Claims</w:t>
      </w:r>
    </w:p>
    <w:p>
      <w:pPr>
        <w:spacing w:before="0" w:after="180"/>
        <w:ind w:left="360"/>
      </w:pPr>
      <w:r>
        <w:rPr>
          <w:rFonts w:ascii="Arial" w:cs="Arial" w:eastAsia="Arial" w:hAnsi="Arial"/>
          <w:i/>
          <w:iCs/>
          <w:color w:val="5A6E8A"/>
          <w:sz w:val="18"/>
          <w:szCs w:val="18"/>
        </w:rPr>
        <w:t xml:space="preserve">When the facts themselves are in dispute</w:t>
      </w:r>
    </w:p>
    <w:p>
      <w:pPr>
        <w:spacing w:before="0" w:after="140" w:line="290"/>
      </w:pPr>
      <w:r>
        <w:rPr>
          <w:rFonts w:ascii="Arial" w:cs="Arial" w:eastAsia="Arial" w:hAnsi="Arial"/>
          <w:i w:val="false"/>
          <w:iCs w:val="false"/>
          <w:color w:val="0E1A2E"/>
          <w:sz w:val="22"/>
          <w:szCs w:val="22"/>
        </w:rPr>
        <w:t xml:space="preserve">Some facts are not settled. Casualty figures in active conflicts, attribution of cyberattacks, census data in disputed territories, the economic impact of a policy — these are areas where credible sources disagree, methodologies vary, and political incentives shape what gets counted and how.</w:t>
      </w:r>
    </w:p>
    <w:p>
      <w:pPr>
        <w:spacing w:before="0" w:after="140" w:line="290"/>
      </w:pPr>
      <w:r>
        <w:rPr>
          <w:rFonts w:ascii="Arial" w:cs="Arial" w:eastAsia="Arial" w:hAnsi="Arial"/>
          <w:i w:val="false"/>
          <w:iCs w:val="false"/>
          <w:color w:val="0E1A2E"/>
          <w:sz w:val="22"/>
          <w:szCs w:val="22"/>
        </w:rPr>
        <w:t xml:space="preserve">FORA’s standard for contested empirical claims is: present the range, source each figure, and explain the methodological dispute. FORA does not adjudicate between contested figures. It presents the dispute as accurately as possible.</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Specific rules for contested empirical claims:</w:t>
      </w:r>
    </w:p>
    <w:p>
      <w:pPr>
        <w:pStyle w:val="ListParagraph"/>
        <w:numPr>
          <w:ilvl w:val="0"/>
          <w:numId w:val="2"/>
        </w:numPr>
        <w:spacing w:before="0" w:after="80"/>
      </w:pPr>
      <w:r>
        <w:rPr>
          <w:rFonts w:ascii="Arial" w:cs="Arial" w:eastAsia="Arial" w:hAnsi="Arial"/>
          <w:color w:val="0E1A2E"/>
          <w:sz w:val="22"/>
          <w:szCs w:val="22"/>
        </w:rPr>
        <w:t xml:space="preserve">When two or more Tier 1 or Tier 2 sources give materially different figures for the same fact, FORA presents both figures with their sources.</w:t>
      </w:r>
    </w:p>
    <w:p>
      <w:pPr>
        <w:pStyle w:val="ListParagraph"/>
        <w:numPr>
          <w:ilvl w:val="0"/>
          <w:numId w:val="2"/>
        </w:numPr>
        <w:spacing w:before="0" w:after="80"/>
      </w:pPr>
      <w:r>
        <w:rPr>
          <w:rFonts w:ascii="Arial" w:cs="Arial" w:eastAsia="Arial" w:hAnsi="Arial"/>
          <w:color w:val="0E1A2E"/>
          <w:sz w:val="22"/>
          <w:szCs w:val="22"/>
        </w:rPr>
        <w:t xml:space="preserve">The dispute itself — why the figures differ — is explained where possible.</w:t>
      </w:r>
    </w:p>
    <w:p>
      <w:pPr>
        <w:pStyle w:val="ListParagraph"/>
        <w:numPr>
          <w:ilvl w:val="0"/>
          <w:numId w:val="2"/>
        </w:numPr>
        <w:spacing w:before="0" w:after="80"/>
      </w:pPr>
      <w:r>
        <w:rPr>
          <w:rFonts w:ascii="Arial" w:cs="Arial" w:eastAsia="Arial" w:hAnsi="Arial"/>
          <w:color w:val="0E1A2E"/>
          <w:sz w:val="22"/>
          <w:szCs w:val="22"/>
        </w:rPr>
        <w:t xml:space="preserve">FORA does not round figures up or down to favor one account. It uses the source’s exact figure, attributed.</w:t>
      </w:r>
    </w:p>
    <w:p>
      <w:pPr>
        <w:pStyle w:val="ListParagraph"/>
        <w:numPr>
          <w:ilvl w:val="0"/>
          <w:numId w:val="2"/>
        </w:numPr>
        <w:spacing w:before="0" w:after="80"/>
      </w:pPr>
      <w:r>
        <w:rPr>
          <w:rFonts w:ascii="Arial" w:cs="Arial" w:eastAsia="Arial" w:hAnsi="Arial"/>
          <w:color w:val="0E1A2E"/>
          <w:sz w:val="22"/>
          <w:szCs w:val="22"/>
        </w:rPr>
        <w:t xml:space="preserve">Where a single authoritative figure does not exist, FORA uses a range (“estimated 25,000–44,000”) with sourcing for the range endpoints.</w:t>
      </w:r>
    </w:p>
    <w:p>
      <w:pPr>
        <w:pStyle w:val="ListParagraph"/>
        <w:numPr>
          <w:ilvl w:val="0"/>
          <w:numId w:val="2"/>
        </w:numPr>
        <w:spacing w:before="0" w:after="80"/>
      </w:pPr>
      <w:r>
        <w:rPr>
          <w:rFonts w:ascii="Arial" w:cs="Arial" w:eastAsia="Arial" w:hAnsi="Arial"/>
          <w:color w:val="0E1A2E"/>
          <w:sz w:val="22"/>
          <w:szCs w:val="22"/>
        </w:rPr>
        <w:t xml:space="preserve">Contested figures are flagged on the page with a disclosure indicator directing users to the sourcing footnote.</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4. Contested Ideological Designations</w:t>
      </w:r>
    </w:p>
    <w:p>
      <w:pPr>
        <w:spacing w:before="0" w:after="180"/>
        <w:ind w:left="360"/>
      </w:pPr>
      <w:r>
        <w:rPr>
          <w:rFonts w:ascii="Arial" w:cs="Arial" w:eastAsia="Arial" w:hAnsi="Arial"/>
          <w:i/>
          <w:iCs/>
          <w:color w:val="5A6E8A"/>
          <w:sz w:val="18"/>
          <w:szCs w:val="18"/>
        </w:rPr>
        <w:t xml:space="preserve">The principle and a worked example</w:t>
      </w:r>
    </w:p>
    <w:p>
      <w:pPr>
        <w:spacing w:before="0" w:after="140" w:line="290"/>
      </w:pPr>
      <w:r>
        <w:rPr>
          <w:rFonts w:ascii="Arial" w:cs="Arial" w:eastAsia="Arial" w:hAnsi="Arial"/>
          <w:i w:val="false"/>
          <w:iCs w:val="false"/>
          <w:color w:val="0E1A2E"/>
          <w:sz w:val="22"/>
          <w:szCs w:val="22"/>
        </w:rPr>
        <w:t xml:space="preserve">Some of the most consequential questions on FORA’s platform are not empirical but ideological. Is a particular organization a terrorist group, a resistance movement, or both depending on who is asking? Is a government authoritarian, transitional, or functionally democratic? Is a military operation a war crime, a proportionate response, or an act of self-defense?</w:t>
      </w:r>
    </w:p>
    <w:p>
      <w:pPr>
        <w:spacing w:before="0" w:after="140" w:line="290"/>
      </w:pPr>
      <w:r>
        <w:rPr>
          <w:rFonts w:ascii="Arial" w:cs="Arial" w:eastAsia="Arial" w:hAnsi="Arial"/>
          <w:i w:val="false"/>
          <w:iCs w:val="false"/>
          <w:color w:val="0E1A2E"/>
          <w:sz w:val="22"/>
          <w:szCs w:val="22"/>
        </w:rPr>
        <w:t xml:space="preserve">FORA’s governing principle is: present the factual record without resolving contested ideological characterizations. FORA describes what an organization does. It does not decree what an organization is.</w:t>
      </w:r>
    </w:p>
    <w:p>
      <w:pPr>
        <w:spacing w:before="0" w:after="140" w:line="290"/>
      </w:pPr>
      <w:r>
        <w:rPr>
          <w:rFonts w:ascii="Arial" w:cs="Arial" w:eastAsia="Arial" w:hAnsi="Arial"/>
          <w:i w:val="false"/>
          <w:iCs w:val="false"/>
          <w:color w:val="0E1A2E"/>
          <w:sz w:val="22"/>
          <w:szCs w:val="22"/>
        </w:rPr>
        <w:t xml:space="preserve">This is not false equivalence. FORA does not treat all characterizations as equally well-supported. It presents the full factual record — actions, history, structure, stated goals, legal designations by various jurisdictions — and allows users to form their own conclusions. The discourse system exists precisely to enable that formation to happen in public.</w:t>
      </w:r>
    </w:p>
    <w:p>
      <w:pPr>
        <w:spacing w:before="0" w:after="100"/>
      </w:pPr>
      <w:r>
        <w:rPr>
          <w:rFonts w:ascii="Arial" w:cs="Arial" w:eastAsia="Arial" w:hAnsi="Arial"/>
          <w:sz w:val="22"/>
          <w:szCs w:val="22"/>
        </w:rPr>
        <w:t xml:space="preserve"/>
      </w:r>
    </w:p>
    <w:p>
      <w:pPr>
        <w:pBdr>
          <w:top w:val="none" w:color="FFFFFF" w:sz="0"/>
          <w:left w:val="single" w:color="2C3E5A" w:sz="14" w:space="8"/>
          <w:bottom w:val="none" w:color="FFFFFF" w:sz="0"/>
          <w:right w:val="none" w:color="FFFFFF" w:sz="0"/>
        </w:pBdr>
        <w:shd w:fill="EEF2F8" w:val="clear"/>
        <w:spacing w:before="120" w:after="120"/>
        <w:ind w:left="200" w:right="400"/>
      </w:pPr>
      <w:r>
        <w:rPr>
          <w:rFonts w:ascii="Arial" w:cs="Arial" w:eastAsia="Arial" w:hAnsi="Arial"/>
          <w:b/>
          <w:bCs/>
          <w:color w:val="2C3E5A"/>
          <w:sz w:val="19"/>
          <w:szCs w:val="19"/>
        </w:rPr>
        <w:t xml:space="preserve">Worked example — Hamas:  </w:t>
      </w:r>
      <w:r>
        <w:rPr>
          <w:rFonts w:ascii="Arial" w:cs="Arial" w:eastAsia="Arial" w:hAnsi="Arial"/>
          <w:i/>
          <w:iCs/>
          <w:color w:val="5A6E8A"/>
          <w:sz w:val="19"/>
          <w:szCs w:val="19"/>
        </w:rPr>
        <w:t xml:space="preserve">Hamas presents the clearest test case for this principle. Hamas is designated as a terrorist organization by the United States, the European Union, and several other governments. It is not designated as such by other governments. It is the governing authority of Gaza, elected in 2006. It has carried out attacks that killed civilians. It has also administered schools, hospitals, and social services. Its founding charter contained explicit antisemitic language. It has subsequently issued revised political documents. October 7, 2023 produced the largest single-day killing of Jews since the Holocaust. It also produced an Israeli military response that, as of this writing, has killed tens of thousands of Palestinian civilians.</w:t>
      </w:r>
    </w:p>
    <w:p>
      <w:pPr>
        <w:spacing w:before="0" w:after="60"/>
      </w:pPr>
      <w:r>
        <w:rPr>
          <w:rFonts w:ascii="Arial" w:cs="Arial" w:eastAsia="Arial" w:hAnsi="Arial"/>
          <w:sz w:val="22"/>
          <w:szCs w:val="22"/>
        </w:rPr>
        <w:t xml:space="preserve"/>
      </w:r>
    </w:p>
    <w:p>
      <w:pPr>
        <w:spacing w:before="0" w:after="140" w:line="290"/>
      </w:pPr>
      <w:r>
        <w:rPr>
          <w:rFonts w:ascii="Arial" w:cs="Arial" w:eastAsia="Arial" w:hAnsi="Arial"/>
          <w:i w:val="false"/>
          <w:iCs w:val="false"/>
          <w:color w:val="0E1A2E"/>
          <w:sz w:val="22"/>
          <w:szCs w:val="22"/>
        </w:rPr>
        <w:t xml:space="preserve">FORA’s Hamas NGE page presents all of the above. It presents the terrorist designations with their sources and the governments that issued them. It presents the non-designations with equal clarity. It does not call Hamas a terrorist organization without attribution, nor does it refuse to note that it carries that designation from major Western governments. The discourse tab on that page exists for users who want to argue about what the factual record means.</w:t>
      </w:r>
    </w:p>
    <w:p>
      <w:pPr>
        <w:spacing w:before="0" w:after="140" w:line="290"/>
      </w:pPr>
      <w:r>
        <w:rPr>
          <w:rFonts w:ascii="Arial" w:cs="Arial" w:eastAsia="Arial" w:hAnsi="Arial"/>
          <w:i w:val="false"/>
          <w:iCs w:val="false"/>
          <w:color w:val="0E1A2E"/>
          <w:sz w:val="22"/>
          <w:szCs w:val="22"/>
        </w:rPr>
        <w:t xml:space="preserve">This principle applies to every contested designation on the platform. FORA describes. FORA sources. FORA does not resolve.</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What this is not:  </w:t>
      </w:r>
      <w:r>
        <w:rPr>
          <w:rFonts w:ascii="Arial" w:cs="Arial" w:eastAsia="Arial" w:hAnsi="Arial"/>
          <w:color w:val="6b4f00"/>
          <w:sz w:val="19"/>
          <w:szCs w:val="19"/>
        </w:rPr>
        <w:t xml:space="preserve">This principle is not moral relativism. FORA does not treat all actions as equally defensible. Civilian massacres are civilian massacres. The factual record of what happened on October 7 is not contested. The ideological characterization of the organization that carried out those attacks is. FORA distinguishes between the two.</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5. The Amendment Process as Editorial Dispute Resolution</w:t>
      </w:r>
    </w:p>
    <w:p>
      <w:pPr>
        <w:spacing w:before="0" w:after="180"/>
        <w:ind w:left="360"/>
      </w:pPr>
      <w:r>
        <w:rPr>
          <w:rFonts w:ascii="Arial" w:cs="Arial" w:eastAsia="Arial" w:hAnsi="Arial"/>
          <w:i/>
          <w:iCs/>
          <w:color w:val="5A6E8A"/>
          <w:sz w:val="18"/>
          <w:szCs w:val="18"/>
        </w:rPr>
        <w:t xml:space="preserve">How users challenge FORA content</w:t>
      </w:r>
    </w:p>
    <w:p>
      <w:pPr>
        <w:spacing w:before="0" w:after="140" w:line="290"/>
      </w:pPr>
      <w:r>
        <w:rPr>
          <w:rFonts w:ascii="Arial" w:cs="Arial" w:eastAsia="Arial" w:hAnsi="Arial"/>
          <w:i w:val="false"/>
          <w:iCs w:val="false"/>
          <w:color w:val="0E1A2E"/>
          <w:sz w:val="22"/>
          <w:szCs w:val="22"/>
        </w:rPr>
        <w:t xml:space="preserve">If you believe a factual claim on a FORA content page is wrong, unsourced, or misleading, the amendment process is your remedy. Every FORA content section has a discourse tab. The discourse tab anchors to specific sections by section key. Any registered user can propose an amendment to any content section through the three-round deliberation process.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How editorial disputes move through the system:</w:t>
      </w:r>
    </w:p>
    <w:p>
      <w:pPr>
        <w:pStyle w:val="ListParagraph"/>
        <w:numPr>
          <w:ilvl w:val="0"/>
          <w:numId w:val="2"/>
        </w:numPr>
        <w:spacing w:before="0" w:after="80"/>
      </w:pPr>
      <w:r>
        <w:rPr>
          <w:rFonts w:ascii="Arial" w:cs="Arial" w:eastAsia="Arial" w:hAnsi="Arial"/>
          <w:color w:val="0E1A2E"/>
          <w:sz w:val="22"/>
          <w:szCs w:val="22"/>
        </w:rPr>
        <w:t xml:space="preserve">A user identifies a specific claim they believe is factually incorrect or improperly sourced.</w:t>
      </w:r>
    </w:p>
    <w:p>
      <w:pPr>
        <w:pStyle w:val="ListParagraph"/>
        <w:numPr>
          <w:ilvl w:val="0"/>
          <w:numId w:val="2"/>
        </w:numPr>
        <w:spacing w:before="0" w:after="80"/>
      </w:pPr>
      <w:r>
        <w:rPr>
          <w:rFonts w:ascii="Arial" w:cs="Arial" w:eastAsia="Arial" w:hAnsi="Arial"/>
          <w:color w:val="0E1A2E"/>
          <w:sz w:val="22"/>
          <w:szCs w:val="22"/>
        </w:rPr>
        <w:t xml:space="preserve">They propose an amendment through the discourse tab, citing a source at Tier 1 or Tier 2 that supports their proposed change.</w:t>
      </w:r>
    </w:p>
    <w:p>
      <w:pPr>
        <w:pStyle w:val="ListParagraph"/>
        <w:numPr>
          <w:ilvl w:val="0"/>
          <w:numId w:val="2"/>
        </w:numPr>
        <w:spacing w:before="0" w:after="80"/>
      </w:pPr>
      <w:r>
        <w:rPr>
          <w:rFonts w:ascii="Arial" w:cs="Arial" w:eastAsia="Arial" w:hAnsi="Arial"/>
          <w:color w:val="0E1A2E"/>
          <w:sz w:val="22"/>
          <w:szCs w:val="22"/>
        </w:rPr>
        <w:t xml:space="preserve">The three-round deliberation runs (72 hours per round). FORA’s editorial staff participates as the last editor — they have the right of first response in Round 2.</w:t>
      </w:r>
    </w:p>
    <w:p>
      <w:pPr>
        <w:pStyle w:val="ListParagraph"/>
        <w:numPr>
          <w:ilvl w:val="0"/>
          <w:numId w:val="2"/>
        </w:numPr>
        <w:spacing w:before="0" w:after="80"/>
      </w:pPr>
      <w:r>
        <w:rPr>
          <w:rFonts w:ascii="Arial" w:cs="Arial" w:eastAsia="Arial" w:hAnsi="Arial"/>
          <w:color w:val="0E1A2E"/>
          <w:sz w:val="22"/>
          <w:szCs w:val="22"/>
        </w:rPr>
        <w:t xml:space="preserve">If the amendment achieves 60% of the eligible pool in the final vote, it goes to the Editorial Board for review before it takes effect.</w:t>
      </w:r>
    </w:p>
    <w:p>
      <w:pPr>
        <w:pStyle w:val="ListParagraph"/>
        <w:numPr>
          <w:ilvl w:val="0"/>
          <w:numId w:val="2"/>
        </w:numPr>
        <w:spacing w:before="0" w:after="80"/>
      </w:pPr>
      <w:r>
        <w:rPr>
          <w:rFonts w:ascii="Arial" w:cs="Arial" w:eastAsia="Arial" w:hAnsi="Arial"/>
          <w:color w:val="0E1A2E"/>
          <w:sz w:val="22"/>
          <w:szCs w:val="22"/>
        </w:rPr>
        <w:t xml:space="preserve">The Editorial Board may ratify, reject, or reopen deliberation. It cannot modify the proposed text unilaterally — it can only accept or return it.</w:t>
      </w:r>
    </w:p>
    <w:p>
      <w:pPr>
        <w:pStyle w:val="ListParagraph"/>
        <w:numPr>
          <w:ilvl w:val="0"/>
          <w:numId w:val="2"/>
        </w:numPr>
        <w:spacing w:before="0" w:after="80"/>
      </w:pPr>
      <w:r>
        <w:rPr>
          <w:rFonts w:ascii="Arial" w:cs="Arial" w:eastAsia="Arial" w:hAnsi="Arial"/>
          <w:color w:val="0E1A2E"/>
          <w:sz w:val="22"/>
          <w:szCs w:val="22"/>
        </w:rPr>
        <w:t xml:space="preserve">If the Editorial Board rejects a community-ratified amendment, it must publish the reason in the Transparency Report.</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The veto is not a permanent veto:  </w:t>
      </w:r>
      <w:r>
        <w:rPr>
          <w:rFonts w:ascii="Arial" w:cs="Arial" w:eastAsia="Arial" w:hAnsi="Arial"/>
          <w:color w:val="6b4f00"/>
          <w:sz w:val="19"/>
          <w:szCs w:val="19"/>
        </w:rPr>
        <w:t xml:space="preserve">A rejected amendment can be reproposed. If the same amendment achieves supermajority ratification (75%+ of eligible pool) on a second vote, the Editorial Board’s rejection is overridden and the amendment takes effect automatically.</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6. What FORA Will Never Publish</w:t>
      </w:r>
    </w:p>
    <w:p>
      <w:pPr>
        <w:spacing w:before="0" w:after="180"/>
        <w:ind w:left="360"/>
      </w:pPr>
      <w:r>
        <w:rPr>
          <w:rFonts w:ascii="Arial" w:cs="Arial" w:eastAsia="Arial" w:hAnsi="Arial"/>
          <w:i/>
          <w:iCs/>
          <w:color w:val="5A6E8A"/>
          <w:sz w:val="18"/>
          <w:szCs w:val="18"/>
        </w:rPr>
        <w:t xml:space="preserve">Hardcoded editorial limits</w:t>
      </w:r>
    </w:p>
    <w:p>
      <w:pPr>
        <w:spacing w:before="0" w:after="140" w:line="290"/>
      </w:pPr>
      <w:r>
        <w:rPr>
          <w:rFonts w:ascii="Arial" w:cs="Arial" w:eastAsia="Arial" w:hAnsi="Arial"/>
          <w:i w:val="false"/>
          <w:iCs w:val="false"/>
          <w:color w:val="0E1A2E"/>
          <w:sz w:val="22"/>
          <w:szCs w:val="22"/>
        </w:rPr>
        <w:t xml:space="preserve">The following categories of content will not appear on FORA’s platform regardless of community vote, amendment proposal, or Editorial Board decision. These limits are not subject to the deliberation process.</w:t>
      </w:r>
    </w:p>
    <w:p>
      <w:pPr>
        <w:pStyle w:val="ListParagraph"/>
        <w:numPr>
          <w:ilvl w:val="0"/>
          <w:numId w:val="2"/>
        </w:numPr>
        <w:spacing w:before="0" w:after="80"/>
      </w:pPr>
      <w:r>
        <w:rPr>
          <w:rFonts w:ascii="Arial" w:cs="Arial" w:eastAsia="Arial" w:hAnsi="Arial"/>
          <w:color w:val="8B1A1A"/>
          <w:sz w:val="22"/>
          <w:szCs w:val="22"/>
        </w:rPr>
        <w:t xml:space="preserve">Content that sexualizes minors in any form.</w:t>
      </w:r>
    </w:p>
    <w:p>
      <w:pPr>
        <w:pStyle w:val="ListParagraph"/>
        <w:numPr>
          <w:ilvl w:val="0"/>
          <w:numId w:val="2"/>
        </w:numPr>
        <w:spacing w:before="0" w:after="80"/>
      </w:pPr>
      <w:r>
        <w:rPr>
          <w:rFonts w:ascii="Arial" w:cs="Arial" w:eastAsia="Arial" w:hAnsi="Arial"/>
          <w:color w:val="8B1A1A"/>
          <w:sz w:val="22"/>
          <w:szCs w:val="22"/>
        </w:rPr>
        <w:t xml:space="preserve">Deliberate disinformation in civic records — fabricated election results, falsified legislation, invented court decisions.</w:t>
      </w:r>
    </w:p>
    <w:p>
      <w:pPr>
        <w:pStyle w:val="ListParagraph"/>
        <w:numPr>
          <w:ilvl w:val="0"/>
          <w:numId w:val="2"/>
        </w:numPr>
        <w:spacing w:before="0" w:after="80"/>
      </w:pPr>
      <w:r>
        <w:rPr>
          <w:rFonts w:ascii="Arial" w:cs="Arial" w:eastAsia="Arial" w:hAnsi="Arial"/>
          <w:color w:val="8B1A1A"/>
          <w:sz w:val="22"/>
          <w:szCs w:val="22"/>
        </w:rPr>
        <w:t xml:space="preserve">Content designed to facilitate real-world violence against identifiable individuals or groups.</w:t>
      </w:r>
    </w:p>
    <w:p>
      <w:pPr>
        <w:pStyle w:val="ListParagraph"/>
        <w:numPr>
          <w:ilvl w:val="0"/>
          <w:numId w:val="2"/>
        </w:numPr>
        <w:spacing w:before="0" w:after="80"/>
      </w:pPr>
      <w:r>
        <w:rPr>
          <w:rFonts w:ascii="Arial" w:cs="Arial" w:eastAsia="Arial" w:hAnsi="Arial"/>
          <w:color w:val="8B1A1A"/>
          <w:sz w:val="22"/>
          <w:szCs w:val="22"/>
        </w:rPr>
        <w:t xml:space="preserve">Content that reproduces classified government information obtained through unauthorized disclosure.</w:t>
      </w:r>
    </w:p>
    <w:p>
      <w:pPr>
        <w:pStyle w:val="ListParagraph"/>
        <w:numPr>
          <w:ilvl w:val="0"/>
          <w:numId w:val="2"/>
        </w:numPr>
        <w:spacing w:before="0" w:after="80"/>
      </w:pPr>
      <w:r>
        <w:rPr>
          <w:rFonts w:ascii="Arial" w:cs="Arial" w:eastAsia="Arial" w:hAnsi="Arial"/>
          <w:color w:val="8B1A1A"/>
          <w:sz w:val="22"/>
          <w:szCs w:val="22"/>
        </w:rPr>
        <w:t xml:space="preserve">Fabricated quotes or statements attributed to real, named living individuals presented as authentic.</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spacing w:before="240" w:after="160"/>
      </w:pPr>
      <w:r>
        <w:rPr>
          <w:rFonts w:ascii="Arial" w:cs="Arial" w:eastAsia="Arial" w:hAnsi="Arial"/>
          <w:b/>
          <w:bCs/>
          <w:color w:val="1B3A6B"/>
          <w:sz w:val="32"/>
          <w:szCs w:val="32"/>
        </w:rPr>
        <w:t xml:space="preserve">Part Two — User Conduct Standards</w:t>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7. The Civic Discourse Standard</w:t>
      </w:r>
    </w:p>
    <w:p>
      <w:pPr>
        <w:spacing w:before="0" w:after="180"/>
        <w:ind w:left="360"/>
      </w:pPr>
      <w:r>
        <w:rPr>
          <w:rFonts w:ascii="Arial" w:cs="Arial" w:eastAsia="Arial" w:hAnsi="Arial"/>
          <w:i/>
          <w:iCs/>
          <w:color w:val="5A6E8A"/>
          <w:sz w:val="18"/>
          <w:szCs w:val="18"/>
        </w:rPr>
        <w:t xml:space="preserve">What FORA expects of users in the discourse system</w:t>
      </w:r>
    </w:p>
    <w:p>
      <w:pPr>
        <w:spacing w:before="0" w:after="140" w:line="290"/>
      </w:pPr>
      <w:r>
        <w:rPr>
          <w:rFonts w:ascii="Arial" w:cs="Arial" w:eastAsia="Arial" w:hAnsi="Arial"/>
          <w:i w:val="false"/>
          <w:iCs w:val="false"/>
          <w:color w:val="0E1A2E"/>
          <w:sz w:val="22"/>
          <w:szCs w:val="22"/>
        </w:rPr>
        <w:t xml:space="preserve">FORA’s discourse system is not a comment section. It is a deliberation system. The standard for participation is not civility for its own sake — it is civic utility. A contribution is valuable if it advances understanding of the subject, introduces relevant evidence, or articulates a perspective that others in the forum can engage with honestly.</w:t>
      </w:r>
    </w:p>
    <w:p>
      <w:pPr>
        <w:spacing w:before="0" w:after="140" w:line="290"/>
      </w:pPr>
      <w:r>
        <w:rPr>
          <w:rFonts w:ascii="Arial" w:cs="Arial" w:eastAsia="Arial" w:hAnsi="Arial"/>
          <w:i w:val="false"/>
          <w:iCs w:val="false"/>
          <w:color w:val="0E1A2E"/>
          <w:sz w:val="22"/>
          <w:szCs w:val="22"/>
        </w:rPr>
        <w:t xml:space="preserve">The psych mirror — the analysis FORA shows every user before they post — is the primary mechanism for maintaining this standard. It does not block posts. It shows the user how their contribution reads and gives them the chance to revise. Users are free to post as written. The psych mirror is a mirror, not a gate.</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What FORA looks for in contributions:</w:t>
      </w:r>
    </w:p>
    <w:p>
      <w:pPr>
        <w:pStyle w:val="ListParagraph"/>
        <w:numPr>
          <w:ilvl w:val="0"/>
          <w:numId w:val="2"/>
        </w:numPr>
        <w:spacing w:before="0" w:after="80"/>
      </w:pPr>
      <w:r>
        <w:rPr>
          <w:rFonts w:ascii="Arial" w:cs="Arial" w:eastAsia="Arial" w:hAnsi="Arial"/>
          <w:color w:val="0E1A2E"/>
          <w:sz w:val="22"/>
          <w:szCs w:val="22"/>
        </w:rPr>
        <w:t xml:space="preserve">Factual claims supported by sources, or explicitly identified as opinion or personal experience.</w:t>
      </w:r>
    </w:p>
    <w:p>
      <w:pPr>
        <w:pStyle w:val="ListParagraph"/>
        <w:numPr>
          <w:ilvl w:val="0"/>
          <w:numId w:val="2"/>
        </w:numPr>
        <w:spacing w:before="0" w:after="80"/>
      </w:pPr>
      <w:r>
        <w:rPr>
          <w:rFonts w:ascii="Arial" w:cs="Arial" w:eastAsia="Arial" w:hAnsi="Arial"/>
          <w:color w:val="0E1A2E"/>
          <w:sz w:val="22"/>
          <w:szCs w:val="22"/>
        </w:rPr>
        <w:t xml:space="preserve">Engagement with the actual content of the section being discussed, not adjacent grievances.</w:t>
      </w:r>
    </w:p>
    <w:p>
      <w:pPr>
        <w:pStyle w:val="ListParagraph"/>
        <w:numPr>
          <w:ilvl w:val="0"/>
          <w:numId w:val="2"/>
        </w:numPr>
        <w:spacing w:before="0" w:after="80"/>
      </w:pPr>
      <w:r>
        <w:rPr>
          <w:rFonts w:ascii="Arial" w:cs="Arial" w:eastAsia="Arial" w:hAnsi="Arial"/>
          <w:color w:val="0E1A2E"/>
          <w:sz w:val="22"/>
          <w:szCs w:val="22"/>
        </w:rPr>
        <w:t xml:space="preserve">Proportionality — a comment on a casualty figure should address the casualty figure, not relitigate the entire conflict.</w:t>
      </w:r>
    </w:p>
    <w:p>
      <w:pPr>
        <w:pStyle w:val="ListParagraph"/>
        <w:numPr>
          <w:ilvl w:val="0"/>
          <w:numId w:val="2"/>
        </w:numPr>
        <w:spacing w:before="0" w:after="80"/>
      </w:pPr>
      <w:r>
        <w:rPr>
          <w:rFonts w:ascii="Arial" w:cs="Arial" w:eastAsia="Arial" w:hAnsi="Arial"/>
          <w:color w:val="0E1A2E"/>
          <w:sz w:val="22"/>
          <w:szCs w:val="22"/>
        </w:rPr>
        <w:t xml:space="preserve">Acknowledgment of the strongest version of opposing positions. The steelman is a civic skill, not a courtesy.</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8. What Is and Is Not Permitted in Discourse</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Permitted — always:</w:t>
      </w:r>
    </w:p>
    <w:p>
      <w:pPr>
        <w:pStyle w:val="ListParagraph"/>
        <w:numPr>
          <w:ilvl w:val="0"/>
          <w:numId w:val="2"/>
        </w:numPr>
        <w:spacing w:before="0" w:after="80"/>
      </w:pPr>
      <w:r>
        <w:rPr>
          <w:rFonts w:ascii="Arial" w:cs="Arial" w:eastAsia="Arial" w:hAnsi="Arial"/>
          <w:color w:val="0E1A2E"/>
          <w:sz w:val="22"/>
          <w:szCs w:val="22"/>
        </w:rPr>
        <w:t xml:space="preserve">Factual corrections with sourcing at Tier 1 or Tier 2.</w:t>
      </w:r>
    </w:p>
    <w:p>
      <w:pPr>
        <w:pStyle w:val="ListParagraph"/>
        <w:numPr>
          <w:ilvl w:val="0"/>
          <w:numId w:val="2"/>
        </w:numPr>
        <w:spacing w:before="0" w:after="80"/>
      </w:pPr>
      <w:r>
        <w:rPr>
          <w:rFonts w:ascii="Arial" w:cs="Arial" w:eastAsia="Arial" w:hAnsi="Arial"/>
          <w:color w:val="0E1A2E"/>
          <w:sz w:val="22"/>
          <w:szCs w:val="22"/>
        </w:rPr>
        <w:t xml:space="preserve">First-person accounts of direct experience with the subject matter, clearly identified as such.</w:t>
      </w:r>
    </w:p>
    <w:p>
      <w:pPr>
        <w:pStyle w:val="ListParagraph"/>
        <w:numPr>
          <w:ilvl w:val="0"/>
          <w:numId w:val="2"/>
        </w:numPr>
        <w:spacing w:before="0" w:after="80"/>
      </w:pPr>
      <w:r>
        <w:rPr>
          <w:rFonts w:ascii="Arial" w:cs="Arial" w:eastAsia="Arial" w:hAnsi="Arial"/>
          <w:color w:val="0E1A2E"/>
          <w:sz w:val="22"/>
          <w:szCs w:val="22"/>
        </w:rPr>
        <w:t xml:space="preserve">Arguments that FORA’s framing of a contested issue is biased or incomplete, made through the amendment process.</w:t>
      </w:r>
    </w:p>
    <w:p>
      <w:pPr>
        <w:pStyle w:val="ListParagraph"/>
        <w:numPr>
          <w:ilvl w:val="0"/>
          <w:numId w:val="2"/>
        </w:numPr>
        <w:spacing w:before="0" w:after="80"/>
      </w:pPr>
      <w:r>
        <w:rPr>
          <w:rFonts w:ascii="Arial" w:cs="Arial" w:eastAsia="Arial" w:hAnsi="Arial"/>
          <w:color w:val="0E1A2E"/>
          <w:sz w:val="22"/>
          <w:szCs w:val="22"/>
        </w:rPr>
        <w:t xml:space="preserve">Strong disagreement, including with FORA’s own content, expressed through the deliberation system.</w:t>
      </w:r>
    </w:p>
    <w:p>
      <w:pPr>
        <w:pStyle w:val="ListParagraph"/>
        <w:numPr>
          <w:ilvl w:val="0"/>
          <w:numId w:val="2"/>
        </w:numPr>
        <w:spacing w:before="0" w:after="80"/>
      </w:pPr>
      <w:r>
        <w:rPr>
          <w:rFonts w:ascii="Arial" w:cs="Arial" w:eastAsia="Arial" w:hAnsi="Arial"/>
          <w:color w:val="0E1A2E"/>
          <w:sz w:val="22"/>
          <w:szCs w:val="22"/>
        </w:rPr>
        <w:t xml:space="preserve">Criticism of other users’ reasoning, addressed to the argument rather than the person.</w:t>
      </w:r>
    </w:p>
    <w:p>
      <w:pPr>
        <w:spacing w:before="0" w:after="60"/>
      </w:pPr>
      <w:r>
        <w:rPr>
          <w:rFonts w:ascii="Arial" w:cs="Arial" w:eastAsia="Arial" w:hAnsi="Arial"/>
          <w:sz w:val="22"/>
          <w:szCs w:val="22"/>
        </w:rPr>
        <w:t xml:space="preserve"/>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Permitted — subject to psych analysis flagging:</w:t>
      </w:r>
    </w:p>
    <w:p>
      <w:pPr>
        <w:pStyle w:val="ListParagraph"/>
        <w:numPr>
          <w:ilvl w:val="0"/>
          <w:numId w:val="2"/>
        </w:numPr>
        <w:spacing w:before="0" w:after="80"/>
      </w:pPr>
      <w:r>
        <w:rPr>
          <w:rFonts w:ascii="Arial" w:cs="Arial" w:eastAsia="Arial" w:hAnsi="Arial"/>
          <w:color w:val="0E1A2E"/>
          <w:sz w:val="22"/>
          <w:szCs w:val="22"/>
        </w:rPr>
        <w:t xml:space="preserve">Emotional expression, including anger and grief, when it arises from direct engagement with the subject matter.</w:t>
      </w:r>
    </w:p>
    <w:p>
      <w:pPr>
        <w:pStyle w:val="ListParagraph"/>
        <w:numPr>
          <w:ilvl w:val="0"/>
          <w:numId w:val="2"/>
        </w:numPr>
        <w:spacing w:before="0" w:after="80"/>
      </w:pPr>
      <w:r>
        <w:rPr>
          <w:rFonts w:ascii="Arial" w:cs="Arial" w:eastAsia="Arial" w:hAnsi="Arial"/>
          <w:color w:val="0E1A2E"/>
          <w:sz w:val="22"/>
          <w:szCs w:val="22"/>
        </w:rPr>
        <w:t xml:space="preserve">Advocacy for a political position, clearly identified as advocacy rather than presented as neutral fact.</w:t>
      </w:r>
    </w:p>
    <w:p>
      <w:pPr>
        <w:pStyle w:val="ListParagraph"/>
        <w:numPr>
          <w:ilvl w:val="0"/>
          <w:numId w:val="2"/>
        </w:numPr>
        <w:spacing w:before="0" w:after="80"/>
      </w:pPr>
      <w:r>
        <w:rPr>
          <w:rFonts w:ascii="Arial" w:cs="Arial" w:eastAsia="Arial" w:hAnsi="Arial"/>
          <w:color w:val="0E1A2E"/>
          <w:sz w:val="22"/>
          <w:szCs w:val="22"/>
        </w:rPr>
        <w:t xml:space="preserve">Historical arguments that contextualize current events, provided the historical claims are sourced.</w:t>
      </w:r>
    </w:p>
    <w:p>
      <w:pPr>
        <w:spacing w:before="0" w:after="60"/>
      </w:pPr>
      <w:r>
        <w:rPr>
          <w:rFonts w:ascii="Arial" w:cs="Arial" w:eastAsia="Arial" w:hAnsi="Arial"/>
          <w:sz w:val="22"/>
          <w:szCs w:val="22"/>
        </w:rPr>
        <w:t xml:space="preserve"/>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Not permitted — removable by moderator:</w:t>
      </w:r>
    </w:p>
    <w:p>
      <w:pPr>
        <w:pStyle w:val="ListParagraph"/>
        <w:numPr>
          <w:ilvl w:val="0"/>
          <w:numId w:val="2"/>
        </w:numPr>
        <w:spacing w:before="0" w:after="80"/>
      </w:pPr>
      <w:r>
        <w:rPr>
          <w:rFonts w:ascii="Arial" w:cs="Arial" w:eastAsia="Arial" w:hAnsi="Arial"/>
          <w:color w:val="0E1A2E"/>
          <w:sz w:val="22"/>
          <w:szCs w:val="22"/>
        </w:rPr>
        <w:t xml:space="preserve">Personal attacks directed at named individuals inside or outside the platform.</w:t>
      </w:r>
    </w:p>
    <w:p>
      <w:pPr>
        <w:pStyle w:val="ListParagraph"/>
        <w:numPr>
          <w:ilvl w:val="0"/>
          <w:numId w:val="2"/>
        </w:numPr>
        <w:spacing w:before="0" w:after="80"/>
      </w:pPr>
      <w:r>
        <w:rPr>
          <w:rFonts w:ascii="Arial" w:cs="Arial" w:eastAsia="Arial" w:hAnsi="Arial"/>
          <w:color w:val="0E1A2E"/>
          <w:sz w:val="22"/>
          <w:szCs w:val="22"/>
        </w:rPr>
        <w:t xml:space="preserve">Content designed to identify or expose a user’s real-world identity without their consent.</w:t>
      </w:r>
    </w:p>
    <w:p>
      <w:pPr>
        <w:pStyle w:val="ListParagraph"/>
        <w:numPr>
          <w:ilvl w:val="0"/>
          <w:numId w:val="2"/>
        </w:numPr>
        <w:spacing w:before="0" w:after="80"/>
      </w:pPr>
      <w:r>
        <w:rPr>
          <w:rFonts w:ascii="Arial" w:cs="Arial" w:eastAsia="Arial" w:hAnsi="Arial"/>
          <w:color w:val="0E1A2E"/>
          <w:sz w:val="22"/>
          <w:szCs w:val="22"/>
        </w:rPr>
        <w:t xml:space="preserve">Coordinated identical or near-identical posts across multiple accounts (inauthentic behavior).</w:t>
      </w:r>
    </w:p>
    <w:p>
      <w:pPr>
        <w:pStyle w:val="ListParagraph"/>
        <w:numPr>
          <w:ilvl w:val="0"/>
          <w:numId w:val="2"/>
        </w:numPr>
        <w:spacing w:before="0" w:after="80"/>
      </w:pPr>
      <w:r>
        <w:rPr>
          <w:rFonts w:ascii="Arial" w:cs="Arial" w:eastAsia="Arial" w:hAnsi="Arial"/>
          <w:color w:val="0E1A2E"/>
          <w:sz w:val="22"/>
          <w:szCs w:val="22"/>
        </w:rPr>
        <w:t xml:space="preserve">Off-topic content with no connection to the section being discussed.</w:t>
      </w:r>
    </w:p>
    <w:p>
      <w:pPr>
        <w:pStyle w:val="ListParagraph"/>
        <w:numPr>
          <w:ilvl w:val="0"/>
          <w:numId w:val="2"/>
        </w:numPr>
        <w:spacing w:before="0" w:after="80"/>
      </w:pPr>
      <w:r>
        <w:rPr>
          <w:rFonts w:ascii="Arial" w:cs="Arial" w:eastAsia="Arial" w:hAnsi="Arial"/>
          <w:color w:val="0E1A2E"/>
          <w:sz w:val="22"/>
          <w:szCs w:val="22"/>
        </w:rPr>
        <w:t xml:space="preserve">Content that violates the Privacy Policy’s provisions on third-party data.</w:t>
      </w:r>
    </w:p>
    <w:p>
      <w:pPr>
        <w:spacing w:before="0" w:after="60"/>
      </w:pPr>
      <w:r>
        <w:rPr>
          <w:rFonts w:ascii="Arial" w:cs="Arial" w:eastAsia="Arial" w:hAnsi="Arial"/>
          <w:sz w:val="22"/>
          <w:szCs w:val="22"/>
        </w:rPr>
        <w:t xml:space="preserve"/>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Not permitted — immediate removal, account review:</w:t>
      </w:r>
    </w:p>
    <w:p>
      <w:pPr>
        <w:pStyle w:val="ListParagraph"/>
        <w:numPr>
          <w:ilvl w:val="0"/>
          <w:numId w:val="2"/>
        </w:numPr>
        <w:spacing w:before="0" w:after="80"/>
      </w:pPr>
      <w:r>
        <w:rPr>
          <w:rFonts w:ascii="Arial" w:cs="Arial" w:eastAsia="Arial" w:hAnsi="Arial"/>
          <w:color w:val="0E1A2E"/>
          <w:sz w:val="22"/>
          <w:szCs w:val="22"/>
        </w:rPr>
        <w:t xml:space="preserve">Incitement to violence against identifiable individuals or groups.</w:t>
      </w:r>
    </w:p>
    <w:p>
      <w:pPr>
        <w:pStyle w:val="ListParagraph"/>
        <w:numPr>
          <w:ilvl w:val="0"/>
          <w:numId w:val="2"/>
        </w:numPr>
        <w:spacing w:before="0" w:after="80"/>
      </w:pPr>
      <w:r>
        <w:rPr>
          <w:rFonts w:ascii="Arial" w:cs="Arial" w:eastAsia="Arial" w:hAnsi="Arial"/>
          <w:color w:val="0E1A2E"/>
          <w:sz w:val="22"/>
          <w:szCs w:val="22"/>
        </w:rPr>
        <w:t xml:space="preserve">Content sexualizing minors.</w:t>
      </w:r>
    </w:p>
    <w:p>
      <w:pPr>
        <w:pStyle w:val="ListParagraph"/>
        <w:numPr>
          <w:ilvl w:val="0"/>
          <w:numId w:val="2"/>
        </w:numPr>
        <w:spacing w:before="0" w:after="80"/>
      </w:pPr>
      <w:r>
        <w:rPr>
          <w:rFonts w:ascii="Arial" w:cs="Arial" w:eastAsia="Arial" w:hAnsi="Arial"/>
          <w:color w:val="0E1A2E"/>
          <w:sz w:val="22"/>
          <w:szCs w:val="22"/>
        </w:rPr>
        <w:t xml:space="preserve">Deliberate impersonation of another registered user.</w:t>
      </w:r>
    </w:p>
    <w:p>
      <w:pPr>
        <w:pStyle w:val="ListParagraph"/>
        <w:numPr>
          <w:ilvl w:val="0"/>
          <w:numId w:val="2"/>
        </w:numPr>
        <w:spacing w:before="0" w:after="80"/>
      </w:pPr>
      <w:r>
        <w:rPr>
          <w:rFonts w:ascii="Arial" w:cs="Arial" w:eastAsia="Arial" w:hAnsi="Arial"/>
          <w:color w:val="0E1A2E"/>
          <w:sz w:val="22"/>
          <w:szCs w:val="22"/>
        </w:rPr>
        <w:t xml:space="preserve">Content that constitutes a credible, specific, imminent threat to an identifiable person — handled under Privacy Policy Tier 3 protocol simultaneously.</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9. The Moderation System</w:t>
      </w:r>
    </w:p>
    <w:p>
      <w:pPr>
        <w:spacing w:before="0" w:after="180"/>
        <w:ind w:left="360"/>
      </w:pPr>
      <w:r>
        <w:rPr>
          <w:rFonts w:ascii="Arial" w:cs="Arial" w:eastAsia="Arial" w:hAnsi="Arial"/>
          <w:i/>
          <w:iCs/>
          <w:color w:val="5A6E8A"/>
          <w:sz w:val="18"/>
          <w:szCs w:val="18"/>
        </w:rPr>
        <w:t xml:space="preserve">Authority, process, and appeals</w:t>
      </w:r>
    </w:p>
    <w:p>
      <w:pPr>
        <w:spacing w:before="0" w:after="140" w:line="290"/>
      </w:pPr>
      <w:r>
        <w:rPr>
          <w:rFonts w:ascii="Arial" w:cs="Arial" w:eastAsia="Arial" w:hAnsi="Arial"/>
          <w:i w:val="false"/>
          <w:iCs w:val="false"/>
          <w:color w:val="0E1A2E"/>
          <w:sz w:val="22"/>
          <w:szCs w:val="22"/>
        </w:rPr>
        <w:t xml:space="preserve">FORA’s moderation system has three layers. Each layer has defined scope and defined limits.</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Layer 1: Automated flagging</w:t>
      </w:r>
    </w:p>
    <w:p>
      <w:pPr>
        <w:spacing w:before="0" w:after="140" w:line="290"/>
      </w:pPr>
      <w:r>
        <w:rPr>
          <w:rFonts w:ascii="Arial" w:cs="Arial" w:eastAsia="Arial" w:hAnsi="Arial"/>
          <w:i w:val="false"/>
          <w:iCs w:val="false"/>
          <w:color w:val="0E1A2E"/>
          <w:sz w:val="22"/>
          <w:szCs w:val="22"/>
        </w:rPr>
        <w:t xml:space="preserve">The psych analysis system flags contributions for signal quality (high, medium, low, noise) before they are posted. Low and noise-rated contributions are not blocked — the author sees the rating and can revise or proceed. Flags are not removals. The automated system has no removal authority.</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Layer 2: Community flagging</w:t>
      </w:r>
    </w:p>
    <w:p>
      <w:pPr>
        <w:spacing w:before="0" w:after="140" w:line="290"/>
      </w:pPr>
      <w:r>
        <w:rPr>
          <w:rFonts w:ascii="Arial" w:cs="Arial" w:eastAsia="Arial" w:hAnsi="Arial"/>
          <w:i w:val="false"/>
          <w:iCs w:val="false"/>
          <w:color w:val="0E1A2E"/>
          <w:sz w:val="22"/>
          <w:szCs w:val="22"/>
        </w:rPr>
        <w:t xml:space="preserve">Any registered user can flag a contribution for moderator review. Flagged content remains visible with a disclosure indicator. Community flags do not remove content — they route it to human review.</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Layer 3: Editorial Board moderation</w:t>
      </w:r>
    </w:p>
    <w:p>
      <w:pPr>
        <w:spacing w:before="0" w:after="140" w:line="290"/>
      </w:pPr>
      <w:r>
        <w:rPr>
          <w:rFonts w:ascii="Arial" w:cs="Arial" w:eastAsia="Arial" w:hAnsi="Arial"/>
          <w:i w:val="false"/>
          <w:iCs w:val="false"/>
          <w:color w:val="0E1A2E"/>
          <w:sz w:val="22"/>
          <w:szCs w:val="22"/>
        </w:rPr>
        <w:t xml:space="preserve">FORA’s Editorial Board, acting through designated moderators, has removal authority for content in the “not permitted” categories above. Moderators may also exercise the deliberation veto — the authority to block a ratified amendment from taking effect. Every veto is logged, and the reason is published in the Transparency Report.</w:t>
      </w:r>
    </w:p>
    <w:p>
      <w:pPr>
        <w:pBdr>
          <w:top w:val="none" w:color="FFFFFF" w:sz="0"/>
          <w:left w:val="none" w:color="FFFFFF" w:sz="0"/>
          <w:bottom w:val="single" w:color="D5DCE8" w:sz="2" w:space="2"/>
          <w:right w:val="none" w:color="FFFFFF" w:sz="0"/>
        </w:pBdr>
        <w:spacing w:before="200" w:after="80"/>
      </w:pPr>
      <w:r>
        <w:rPr>
          <w:rFonts w:ascii="Arial" w:cs="Arial" w:eastAsia="Arial" w:hAnsi="Arial"/>
          <w:b/>
          <w:bCs/>
          <w:color w:val="2C3E5A"/>
          <w:sz w:val="22"/>
          <w:szCs w:val="22"/>
        </w:rPr>
        <w:t xml:space="preserve">Appeals:</w:t>
      </w:r>
    </w:p>
    <w:p>
      <w:pPr>
        <w:spacing w:before="0" w:after="140" w:line="290"/>
      </w:pPr>
      <w:r>
        <w:rPr>
          <w:rFonts w:ascii="Arial" w:cs="Arial" w:eastAsia="Arial" w:hAnsi="Arial"/>
          <w:i w:val="false"/>
          <w:iCs w:val="false"/>
          <w:color w:val="0E1A2E"/>
          <w:sz w:val="22"/>
          <w:szCs w:val="22"/>
        </w:rPr>
        <w:t xml:space="preserve">A user whose contribution has been removed may submit an appeal to the Editorial Board within 14 days of removal. The appeal must identify the specific content removed and state the grounds for reinstatement. The Editorial Board must respond within 30 days. Appeal decisions are published in aggregate in the Transparency Report — individual cases are not named without the user’s consent.</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On permanent account action:  </w:t>
      </w:r>
      <w:r>
        <w:rPr>
          <w:rFonts w:ascii="Arial" w:cs="Arial" w:eastAsia="Arial" w:hAnsi="Arial"/>
          <w:color w:val="6b4f00"/>
          <w:sz w:val="19"/>
          <w:szCs w:val="19"/>
        </w:rPr>
        <w:t xml:space="preserve">Account suspension or termination requires Editorial Board approval, not moderator discretion alone. Temporary restrictions (cooling-off periods of up to 72 hours) may be applied by moderators in cases of clear policy violation. Any restriction lasting longer than 72 hours requires Board review.</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10. Civic Identity Integrity</w:t>
      </w:r>
    </w:p>
    <w:p>
      <w:pPr>
        <w:spacing w:before="0" w:after="180"/>
        <w:ind w:left="360"/>
      </w:pPr>
      <w:r>
        <w:rPr>
          <w:rFonts w:ascii="Arial" w:cs="Arial" w:eastAsia="Arial" w:hAnsi="Arial"/>
          <w:i/>
          <w:iCs/>
          <w:color w:val="5A6E8A"/>
          <w:sz w:val="18"/>
          <w:szCs w:val="18"/>
        </w:rPr>
        <w:t xml:space="preserve">On verification, rings, and the credential system</w:t>
      </w:r>
    </w:p>
    <w:p>
      <w:pPr>
        <w:spacing w:before="0" w:after="140" w:line="290"/>
      </w:pPr>
      <w:r>
        <w:rPr>
          <w:rFonts w:ascii="Arial" w:cs="Arial" w:eastAsia="Arial" w:hAnsi="Arial"/>
          <w:i w:val="false"/>
          <w:iCs w:val="false"/>
          <w:color w:val="0E1A2E"/>
          <w:sz w:val="22"/>
          <w:szCs w:val="22"/>
        </w:rPr>
        <w:t xml:space="preserve">FORA’s civic identity system — occupation, credential verification, organizational membership, military service — is self-reported except where verified through a third-party registry. The gold ring is awarded only upon confirmed verification through the relevant licensing board. All other identity claims are self-reported.</w:t>
      </w:r>
    </w:p>
    <w:p>
      <w:pPr>
        <w:spacing w:before="0" w:after="140" w:line="290"/>
      </w:pPr>
      <w:r>
        <w:rPr>
          <w:rFonts w:ascii="Arial" w:cs="Arial" w:eastAsia="Arial" w:hAnsi="Arial"/>
          <w:i w:val="false"/>
          <w:iCs w:val="false"/>
          <w:color w:val="0E1A2E"/>
          <w:sz w:val="22"/>
          <w:szCs w:val="22"/>
        </w:rPr>
        <w:t xml:space="preserve">FORA does not penalize users for being unverified. A homemaker without a professional license has the same right to participate in civic discourse as a licensed surgeon. Civic standing is not gated by credential. The ring system and credential pill exist to provide context, not to create a hierarchy of speech rights.</w:t>
      </w:r>
    </w:p>
    <w:p>
      <w:pPr>
        <w:pStyle w:val="ListParagraph"/>
        <w:numPr>
          <w:ilvl w:val="0"/>
          <w:numId w:val="2"/>
        </w:numPr>
        <w:spacing w:before="0" w:after="80"/>
      </w:pPr>
      <w:r>
        <w:rPr>
          <w:rFonts w:ascii="Arial" w:cs="Arial" w:eastAsia="Arial" w:hAnsi="Arial"/>
          <w:color w:val="0E1A2E"/>
          <w:sz w:val="22"/>
          <w:szCs w:val="22"/>
        </w:rPr>
        <w:t xml:space="preserve">Misrepresenting a credential in order to obtain a gold ring constitutes identity fraud and is grounds for account termination.</w:t>
      </w:r>
    </w:p>
    <w:p>
      <w:pPr>
        <w:pStyle w:val="ListParagraph"/>
        <w:numPr>
          <w:ilvl w:val="0"/>
          <w:numId w:val="2"/>
        </w:numPr>
        <w:spacing w:before="0" w:after="80"/>
      </w:pPr>
      <w:r>
        <w:rPr>
          <w:rFonts w:ascii="Arial" w:cs="Arial" w:eastAsia="Arial" w:hAnsi="Arial"/>
          <w:color w:val="0E1A2E"/>
          <w:sz w:val="22"/>
          <w:szCs w:val="22"/>
        </w:rPr>
        <w:t xml:space="preserve">Claiming organizational membership (union, professional association, veterans organization) that you do not hold is a violation of the conduct standards.</w:t>
      </w:r>
    </w:p>
    <w:p>
      <w:pPr>
        <w:pStyle w:val="ListParagraph"/>
        <w:numPr>
          <w:ilvl w:val="0"/>
          <w:numId w:val="2"/>
        </w:numPr>
        <w:spacing w:before="0" w:after="80"/>
      </w:pPr>
      <w:r>
        <w:rPr>
          <w:rFonts w:ascii="Arial" w:cs="Arial" w:eastAsia="Arial" w:hAnsi="Arial"/>
          <w:color w:val="0E1A2E"/>
          <w:sz w:val="22"/>
          <w:szCs w:val="22"/>
        </w:rPr>
        <w:t xml:space="preserve">FORA does not verify political affiliation. Users may not use FORA’s civic identity system to claim elected or appointed office they do not hold.</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60"/>
        <w:ind w:left="200"/>
      </w:pPr>
      <w:r>
        <w:rPr>
          <w:rFonts w:ascii="Arial" w:cs="Arial" w:eastAsia="Arial" w:hAnsi="Arial"/>
          <w:b/>
          <w:bCs/>
          <w:color w:val="1B3A6B"/>
          <w:sz w:val="28"/>
          <w:szCs w:val="28"/>
        </w:rPr>
        <w:t xml:space="preserve">11. Transparency and Accountability</w:t>
      </w:r>
    </w:p>
    <w:p>
      <w:pPr>
        <w:spacing w:before="0" w:after="180"/>
        <w:ind w:left="360"/>
      </w:pPr>
      <w:r>
        <w:rPr>
          <w:rFonts w:ascii="Arial" w:cs="Arial" w:eastAsia="Arial" w:hAnsi="Arial"/>
          <w:i/>
          <w:iCs/>
          <w:color w:val="5A6E8A"/>
          <w:sz w:val="18"/>
          <w:szCs w:val="18"/>
        </w:rPr>
        <w:t xml:space="preserve">How FORA holds itself to this document</w:t>
      </w:r>
    </w:p>
    <w:p>
      <w:pPr>
        <w:spacing w:before="0" w:after="140" w:line="290"/>
      </w:pPr>
      <w:r>
        <w:rPr>
          <w:rFonts w:ascii="Arial" w:cs="Arial" w:eastAsia="Arial" w:hAnsi="Arial"/>
          <w:i w:val="false"/>
          <w:iCs w:val="false"/>
          <w:color w:val="0E1A2E"/>
          <w:sz w:val="22"/>
          <w:szCs w:val="22"/>
        </w:rPr>
        <w:t xml:space="preserve">FORA’s annual Transparency Report includes:</w:t>
      </w:r>
    </w:p>
    <w:p>
      <w:pPr>
        <w:pStyle w:val="ListParagraph"/>
        <w:numPr>
          <w:ilvl w:val="0"/>
          <w:numId w:val="2"/>
        </w:numPr>
        <w:spacing w:before="0" w:after="80"/>
      </w:pPr>
      <w:r>
        <w:rPr>
          <w:rFonts w:ascii="Arial" w:cs="Arial" w:eastAsia="Arial" w:hAnsi="Arial"/>
          <w:color w:val="0E1A2E"/>
          <w:sz w:val="22"/>
          <w:szCs w:val="22"/>
        </w:rPr>
        <w:t xml:space="preserve">The current composition of the Editorial Board.</w:t>
      </w:r>
    </w:p>
    <w:p>
      <w:pPr>
        <w:pStyle w:val="ListParagraph"/>
        <w:numPr>
          <w:ilvl w:val="0"/>
          <w:numId w:val="2"/>
        </w:numPr>
        <w:spacing w:before="0" w:after="80"/>
      </w:pPr>
      <w:r>
        <w:rPr>
          <w:rFonts w:ascii="Arial" w:cs="Arial" w:eastAsia="Arial" w:hAnsi="Arial"/>
          <w:color w:val="0E1A2E"/>
          <w:sz w:val="22"/>
          <w:szCs w:val="22"/>
        </w:rPr>
        <w:t xml:space="preserve">The number of content amendments proposed, ratified, and rejected — including all Editorial Board vetoes and the reasons given.</w:t>
      </w:r>
    </w:p>
    <w:p>
      <w:pPr>
        <w:pStyle w:val="ListParagraph"/>
        <w:numPr>
          <w:ilvl w:val="0"/>
          <w:numId w:val="2"/>
        </w:numPr>
        <w:spacing w:before="0" w:after="80"/>
      </w:pPr>
      <w:r>
        <w:rPr>
          <w:rFonts w:ascii="Arial" w:cs="Arial" w:eastAsia="Arial" w:hAnsi="Arial"/>
          <w:color w:val="0E1A2E"/>
          <w:sz w:val="22"/>
          <w:szCs w:val="22"/>
        </w:rPr>
        <w:t xml:space="preserve">The number of user contributions removed under each category of the conduct standards.</w:t>
      </w:r>
    </w:p>
    <w:p>
      <w:pPr>
        <w:pStyle w:val="ListParagraph"/>
        <w:numPr>
          <w:ilvl w:val="0"/>
          <w:numId w:val="2"/>
        </w:numPr>
        <w:spacing w:before="0" w:after="80"/>
      </w:pPr>
      <w:r>
        <w:rPr>
          <w:rFonts w:ascii="Arial" w:cs="Arial" w:eastAsia="Arial" w:hAnsi="Arial"/>
          <w:color w:val="0E1A2E"/>
          <w:sz w:val="22"/>
          <w:szCs w:val="22"/>
        </w:rPr>
        <w:t xml:space="preserve">The number of appeals filed and their outcomes.</w:t>
      </w:r>
    </w:p>
    <w:p>
      <w:pPr>
        <w:pStyle w:val="ListParagraph"/>
        <w:numPr>
          <w:ilvl w:val="0"/>
          <w:numId w:val="2"/>
        </w:numPr>
        <w:spacing w:before="0" w:after="80"/>
      </w:pPr>
      <w:r>
        <w:rPr>
          <w:rFonts w:ascii="Arial" w:cs="Arial" w:eastAsia="Arial" w:hAnsi="Arial"/>
          <w:color w:val="0E1A2E"/>
          <w:sz w:val="22"/>
          <w:szCs w:val="22"/>
        </w:rPr>
        <w:t xml:space="preserve">Any changes to this document since the previous Transparency Report, with a plain-language explanation of what changed and why.</w:t>
      </w:r>
    </w:p>
    <w:p>
      <w:pPr>
        <w:pStyle w:val="ListParagraph"/>
        <w:numPr>
          <w:ilvl w:val="0"/>
          <w:numId w:val="2"/>
        </w:numPr>
        <w:spacing w:before="0" w:after="80"/>
      </w:pPr>
      <w:r>
        <w:rPr>
          <w:rFonts w:ascii="Arial" w:cs="Arial" w:eastAsia="Arial" w:hAnsi="Arial"/>
          <w:color w:val="0E1A2E"/>
          <w:sz w:val="22"/>
          <w:szCs w:val="22"/>
        </w:rPr>
        <w:t xml:space="preserve">The criteria and timeline for transitioning Community Standards governance to community control.</w:t>
      </w:r>
    </w:p>
    <w:p>
      <w:pPr>
        <w:spacing w:before="0" w:after="140" w:line="290"/>
      </w:pPr>
      <w:r>
        <w:rPr>
          <w:rFonts w:ascii="Arial" w:cs="Arial" w:eastAsia="Arial" w:hAnsi="Arial"/>
          <w:i w:val="false"/>
          <w:iCs w:val="false"/>
          <w:color w:val="0E1A2E"/>
          <w:sz w:val="22"/>
          <w:szCs w:val="22"/>
        </w:rPr>
        <w:t xml:space="preserve">This document is itself subject to Editorial Board review on an annual basis. Users who believe this document fails to reflect FORA’s actual practices may submit a written complaint to the Editorial Board through the platform’s feedback system. Complaints that identify a material discrepancy between this document and FORA’s conduct will be addressed in the next Transparency Report.</w:t>
      </w:r>
    </w:p>
    <w:p>
      <w:pPr>
        <w:spacing w:before="0" w:after="80"/>
      </w:pPr>
      <w:r>
        <w:rPr>
          <w:rFonts w:ascii="Arial" w:cs="Arial" w:eastAsia="Arial" w:hAnsi="Arial"/>
          <w:sz w:val="22"/>
          <w:szCs w:val="22"/>
        </w:rPr>
        <w:t xml:space="preserve"/>
      </w:r>
    </w:p>
    <w:p>
      <w:pPr>
        <w:pBdr>
          <w:top w:val="none" w:color="FFFFFF" w:sz="0"/>
          <w:left w:val="single" w:color="1B3A6B" w:sz="16" w:space="8"/>
          <w:bottom w:val="none" w:color="FFFFFF" w:sz="0"/>
          <w:right w:val="none" w:color="FFFFFF" w:sz="0"/>
        </w:pBdr>
        <w:spacing w:before="320" w:after="160"/>
        <w:ind w:left="200"/>
      </w:pPr>
      <w:r>
        <w:rPr>
          <w:rFonts w:ascii="Arial" w:cs="Arial" w:eastAsia="Arial" w:hAnsi="Arial"/>
          <w:b/>
          <w:bCs/>
          <w:color w:val="1B3A6B"/>
          <w:sz w:val="28"/>
          <w:szCs w:val="28"/>
        </w:rPr>
        <w:t xml:space="preserve">12. Governing Law and Jurisdiction</w:t>
      </w:r>
    </w:p>
    <w:p>
      <w:pPr>
        <w:spacing w:before="0" w:after="140" w:line="290"/>
      </w:pPr>
      <w:r>
        <w:rPr>
          <w:rFonts w:ascii="Arial" w:cs="Arial" w:eastAsia="Arial" w:hAnsi="Arial"/>
          <w:i w:val="false"/>
          <w:iCs w:val="false"/>
          <w:color w:val="0E1A2E"/>
          <w:sz w:val="22"/>
          <w:szCs w:val="22"/>
        </w:rPr>
        <w:t xml:space="preserve">This document is governed by the laws of the United States. FORA operates as a US-based civic platform and is subject to US law, including but not limited to the First Amendment, Section 230 of the Communications Decency Act (47 U.S.C. § 230), the Digital Millennium Copyright Act, and the Electronic Communications Privacy Act.</w:t>
      </w:r>
    </w:p>
    <w:p>
      <w:pPr>
        <w:spacing w:before="0" w:after="140" w:line="290"/>
      </w:pPr>
      <w:r>
        <w:rPr>
          <w:rFonts w:ascii="Arial" w:cs="Arial" w:eastAsia="Arial" w:hAnsi="Arial"/>
          <w:i w:val="false"/>
          <w:iCs w:val="false"/>
          <w:color w:val="0E1A2E"/>
          <w:sz w:val="22"/>
          <w:szCs w:val="22"/>
        </w:rPr>
        <w:t xml:space="preserve">Section 230 provides that FORA is not liable as a publisher for user-generated content in the discourse system. FORA’s editorial content — jurisdiction pages, NGE profiles, bill summaries — is produced by FORA and is not covered by the Section 230 safe harbor. FORA stands behind its editorial content under its own editorial standards, as set forth in Part One of this document.</w:t>
      </w:r>
    </w:p>
    <w:p>
      <w:pPr>
        <w:pBdr>
          <w:top w:val="none" w:color="FFFFFF" w:sz="0"/>
          <w:left w:val="single" w:color="B8860B" w:sz="14" w:space="8"/>
          <w:bottom w:val="none" w:color="FFFFFF" w:sz="0"/>
          <w:right w:val="none" w:color="FFFFFF" w:sz="0"/>
        </w:pBdr>
        <w:shd w:fill="FDF3DC" w:val="clear"/>
        <w:spacing w:before="120" w:after="120"/>
        <w:ind w:left="200" w:right="400"/>
      </w:pPr>
      <w:r>
        <w:rPr>
          <w:rFonts w:ascii="Arial" w:cs="Arial" w:eastAsia="Arial" w:hAnsi="Arial"/>
          <w:b/>
          <w:bCs/>
          <w:color w:val="B8860B"/>
          <w:sz w:val="19"/>
          <w:szCs w:val="19"/>
        </w:rPr>
        <w:t xml:space="preserve">Note on international users:  </w:t>
      </w:r>
      <w:r>
        <w:rPr>
          <w:rFonts w:ascii="Arial" w:cs="Arial" w:eastAsia="Arial" w:hAnsi="Arial"/>
          <w:color w:val="6b4f00"/>
          <w:sz w:val="19"/>
          <w:szCs w:val="19"/>
        </w:rPr>
        <w:t xml:space="preserve">Users outside the United States engage with FORA under US law. FORA does not recognize foreign legal process and does not modify its Community Standards based on the content laws of other jurisdictions. See the Privacy Policy for FORA’s data handling obligations under foreign law.</w:t>
      </w:r>
    </w:p>
    <w:p>
      <w:pPr>
        <w:spacing w:before="0" w:after="80"/>
      </w:pPr>
      <w:r>
        <w:rPr>
          <w:rFonts w:ascii="Arial" w:cs="Arial" w:eastAsia="Arial" w:hAnsi="Arial"/>
          <w:sz w:val="22"/>
          <w:szCs w:val="22"/>
        </w:rPr>
        <w:t xml:space="preserve"/>
      </w:r>
    </w:p>
    <w:p>
      <w:pPr>
        <w:pBdr>
          <w:bottom w:val="single" w:color="1B3A6B" w:sz="6" w:space="1"/>
        </w:pBdr>
        <w:spacing w:before="120" w:after="120"/>
      </w:pPr>
      <w:r>
        <w:rPr>
          <w:rFonts w:ascii="Arial" w:cs="Arial" w:eastAsia="Arial" w:hAnsi="Arial"/>
          <w:sz w:val="4"/>
          <w:szCs w:val="4"/>
        </w:rPr>
        <w:t xml:space="preserve"/>
      </w:r>
    </w:p>
    <w:p>
      <w:pPr>
        <w:pBdr>
          <w:bottom w:val="single" w:color="B8860B" w:sz="3" w:space="1"/>
        </w:pBdr>
        <w:spacing w:before="80" w:after="80"/>
      </w:pPr>
      <w:r>
        <w:rPr>
          <w:rFonts w:ascii="Arial" w:cs="Arial" w:eastAsia="Arial" w:hAnsi="Arial"/>
          <w:sz w:val="4"/>
          <w:szCs w:val="4"/>
        </w:rPr>
        <w:t xml:space="preserve"/>
      </w:r>
    </w:p>
    <w:p>
      <w:pPr>
        <w:spacing w:before="240" w:after="80"/>
        <w:jc w:val="center"/>
      </w:pPr>
      <w:r>
        <w:rPr>
          <w:rFonts w:ascii="Arial" w:cs="Arial" w:eastAsia="Arial" w:hAnsi="Arial"/>
          <w:i/>
          <w:iCs/>
          <w:color w:val="5A6E8A"/>
          <w:sz w:val="18"/>
          <w:szCs w:val="18"/>
        </w:rPr>
        <w:t xml:space="preserve">FORA Civic Platform  ·  Community Standards &amp; Editorial Policy v1.0  ·  Confidential Draft</w:t>
      </w:r>
    </w:p>
    <w:p>
      <w:pPr>
        <w:spacing w:before="0" w:after="80"/>
        <w:jc w:val="center"/>
      </w:pPr>
      <w:r>
        <w:rPr>
          <w:rFonts w:ascii="Arial" w:cs="Arial" w:eastAsia="Arial" w:hAnsi="Arial"/>
          <w:i/>
          <w:iCs/>
          <w:color w:val="5A6E8A"/>
          <w:sz w:val="18"/>
          <w:szCs w:val="18"/>
        </w:rPr>
        <w:t xml:space="preserve">This document was prepared for internal review. It is not a binding legal instrument and has not been reviewed by legal counsel. No portion should be published or shared externally without review by qualified counsel familiar with platform liability, First Amendment law, and Section 230.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8" w:sz="4" w:space="4"/>
        <w:left w:val="none" w:color="FFFFFF" w:sz="0"/>
        <w:bottom w:val="none" w:color="FFFFFF" w:sz="0"/>
        <w:right w:val="none" w:color="FFFFFF" w:sz="0"/>
      </w:pBdr>
      <w:tabs>
        <w:tab w:val="right" w:pos="9026"/>
      </w:tabs>
      <w:spacing w:before="120" w:after="0"/>
    </w:pPr>
    <w:r>
      <w:rPr>
        <w:rFonts w:ascii="Arial" w:cs="Arial" w:eastAsia="Arial" w:hAnsi="Arial"/>
        <w:color w:val="5A6E8A"/>
        <w:sz w:val="16"/>
        <w:szCs w:val="16"/>
      </w:rPr>
      <w:t xml:space="preserve">FORA Civic Platform  –  Confidential Draft</w:t>
    </w:r>
    <w:r>
      <w:rPr>
        <w:rFonts w:ascii="Arial" w:cs="Arial" w:eastAsia="Arial" w:hAnsi="Arial"/>
        <w:color w:val="5A6E8A"/>
        <w:sz w:val="16"/>
        <w:szCs w:val="16"/>
      </w:rPr>
      <w:t xml:space="preserve">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B8860B" w:sz="4" w:space="4"/>
        <w:left w:val="none" w:color="FFFFFF" w:sz="0"/>
        <w:right w:val="none" w:color="FFFFFF" w:sz="0"/>
      </w:pBdr>
      <w:tabs>
        <w:tab w:val="right" w:pos="9026"/>
      </w:tabs>
      <w:spacing w:before="0" w:after="120"/>
    </w:pPr>
    <w:r>
      <w:rPr>
        <w:rFonts w:ascii="Arial" w:cs="Arial" w:eastAsia="Arial" w:hAnsi="Arial"/>
        <w:b/>
        <w:bCs/>
        <w:color w:val="1B3A6B"/>
        <w:sz w:val="20"/>
        <w:szCs w:val="20"/>
      </w:rPr>
      <w:t xml:space="preserve">FORA</w:t>
    </w:r>
    <w:r>
      <w:rPr>
        <w:rFonts w:ascii="Arial" w:cs="Arial" w:eastAsia="Arial" w:hAnsi="Arial"/>
        <w:color w:val="5A6E8A"/>
        <w:sz w:val="20"/>
        <w:szCs w:val="20"/>
      </w:rPr>
      <w:t xml:space="preserve">  –  Community Standards &amp; Editorial Policy</w:t>
    </w:r>
    <w:r>
      <w:rPr>
        <w:rFonts w:ascii="Arial" w:cs="Arial" w:eastAsia="Arial" w:hAnsi="Arial"/>
        <w:color w:val="5A6E8A"/>
        <w:sz w:val="18"/>
        <w:szCs w:val="18"/>
      </w:rPr>
      <w:t xml:space="preserve">	</w:t>
    </w:r>
    <w:r>
      <w:rPr>
        <w:rFonts w:ascii="Arial" w:cs="Arial" w:eastAsia="Arial" w:hAnsi="Arial"/>
        <w:color w:val="5A6E8A"/>
        <w:sz w:val="18"/>
        <w:szCs w:val="18"/>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860B"/>
        <w:sz w:val="22"/>
        <w:szCs w:val="22"/>
      </w:rPr>
    </w:lvl>
    <w:lvl w:ilvl="1" w15:tentative="1">
      <w:start w:val="1"/>
      <w:numFmt w:val="bullet"/>
      <w:lvlText w:val="·"/>
      <w:lvlJc w:val="left"/>
      <w:pPr>
        <w:ind w:left="1000" w:hanging="280"/>
      </w:pPr>
      <w:rPr>
        <w:rFonts w:ascii="Arial" w:cs="Arial" w:eastAsia="Arial" w:hAnsi="Arial"/>
        <w:color w:val="5A6E8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C3E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2026-03-17T03:09:58.124Z</dcterms:created>
  <dcterms:modified xsi:type="dcterms:W3CDTF">2026-03-17T03:09:58.126Z</dcterms:modified>
</cp:coreProperties>
</file>

<file path=docProps/custom.xml><?xml version="1.0" encoding="utf-8"?>
<Properties xmlns="http://schemas.openxmlformats.org/officeDocument/2006/custom-properties" xmlns:vt="http://schemas.openxmlformats.org/officeDocument/2006/docPropsVTypes"/>
</file>