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b/>
          <w:bCs/>
          <w:color w:val="1B3A6B"/>
          <w:sz w:val="72"/>
          <w:szCs w:val="72"/>
        </w:rPr>
        <w:t xml:space="preserve">FORA</w:t>
      </w:r>
    </w:p>
    <w:p>
      <w:pPr>
        <w:spacing w:before="0" w:after="200"/>
        <w:jc w:val="center"/>
      </w:pPr>
      <w:r>
        <w:rPr>
          <w:rFonts w:ascii="Arial" w:cs="Arial" w:eastAsia="Arial" w:hAnsi="Arial"/>
          <w:i/>
          <w:iCs/>
          <w:color w:val="5A6E8A"/>
          <w:sz w:val="28"/>
          <w:szCs w:val="28"/>
        </w:rPr>
        <w:t xml:space="preserve">Civic Platform</w:t>
      </w:r>
    </w:p>
    <w:p>
      <w:pPr>
        <w:pBdr>
          <w:bottom w:val="single" w:color="B8860B" w:sz="3" w:space="1"/>
        </w:pBdr>
        <w:spacing w:before="80" w:after="80"/>
      </w:pPr>
      <w:r>
        <w:rPr>
          <w:rFonts w:ascii="Arial" w:cs="Arial" w:eastAsia="Arial" w:hAnsi="Arial"/>
          <w:sz w:val="4"/>
          <w:szCs w:val="4"/>
        </w:rPr>
        <w:t xml:space="preserve"/>
      </w:r>
    </w:p>
    <w:p>
      <w:pPr>
        <w:spacing w:before="200" w:after="80"/>
        <w:jc w:val="center"/>
      </w:pPr>
      <w:r>
        <w:rPr>
          <w:rFonts w:ascii="Arial" w:cs="Arial" w:eastAsia="Arial" w:hAnsi="Arial"/>
          <w:b/>
          <w:bCs/>
          <w:color w:val="0E1A2E"/>
          <w:sz w:val="44"/>
          <w:szCs w:val="44"/>
        </w:rPr>
        <w:t xml:space="preserve">Privacy Policy</w:t>
      </w:r>
    </w:p>
    <w:p>
      <w:pPr>
        <w:spacing w:before="0" w:after="80"/>
        <w:jc w:val="center"/>
      </w:pPr>
      <w:r>
        <w:rPr>
          <w:rFonts w:ascii="Arial" w:cs="Arial" w:eastAsia="Arial" w:hAnsi="Arial"/>
          <w:color w:val="5A6E8A"/>
          <w:sz w:val="20"/>
          <w:szCs w:val="20"/>
        </w:rPr>
        <w:t xml:space="preserve">Version 1.0  –  Confidential Draft</w:t>
      </w:r>
    </w:p>
    <w:p>
      <w:pPr>
        <w:spacing w:before="0" w:after="400"/>
        <w:jc w:val="center"/>
      </w:pPr>
      <w:r>
        <w:rPr>
          <w:rFonts w:ascii="Arial" w:cs="Arial" w:eastAsia="Arial" w:hAnsi="Arial"/>
          <w:color w:val="5A6E8A"/>
          <w:sz w:val="20"/>
          <w:szCs w:val="20"/>
        </w:rPr>
        <w:t xml:space="preserve">Effective Date: [To be determined upon launch]</w:t>
      </w:r>
    </w:p>
    <w:p>
      <w:pPr>
        <w:pBdr>
          <w:bottom w:val="single" w:color="1B3A6B" w:sz="6" w:space="1"/>
        </w:pBdr>
        <w:spacing w:before="120" w:after="120"/>
      </w:pPr>
      <w:r>
        <w:rPr>
          <w:rFonts w:ascii="Arial" w:cs="Arial" w:eastAsia="Arial" w:hAnsi="Arial"/>
          <w:sz w:val="4"/>
          <w:szCs w:val="4"/>
        </w:rPr>
        <w:t xml:space="preserve"/>
      </w:r>
    </w:p>
    <w:p>
      <w:pPr>
        <w:spacing w:before="0" w:after="200"/>
      </w:pPr>
      <w:r>
        <w:rPr>
          <w:rFonts w:ascii="Arial" w:cs="Arial" w:eastAsia="Arial" w:hAnsi="Arial"/>
          <w:sz w:val="22"/>
          <w:szCs w:val="22"/>
        </w:rPr>
        <w:t xml:space="preserve"/>
      </w:r>
    </w:p>
    <w:p>
      <w:pPr>
        <w:pBdr>
          <w:top w:val="none" w:color="FFFFFF" w:sz="0"/>
          <w:left w:val="single" w:color="1B3A6B" w:sz="16" w:space="8"/>
          <w:bottom w:val="none" w:color="FFFFFF" w:sz="0"/>
          <w:right w:val="none" w:color="FFFFFF" w:sz="0"/>
        </w:pBdr>
        <w:spacing w:before="320" w:after="60"/>
        <w:ind w:left="200"/>
      </w:pPr>
      <w:r>
        <w:rPr>
          <w:rFonts w:ascii="Arial" w:cs="Arial" w:eastAsia="Arial" w:hAnsi="Arial"/>
          <w:b/>
          <w:bCs/>
          <w:color w:val="1B3A6B"/>
          <w:sz w:val="28"/>
          <w:szCs w:val="28"/>
        </w:rPr>
        <w:t xml:space="preserve">A Note Before We Begin</w:t>
      </w:r>
    </w:p>
    <w:p>
      <w:pPr>
        <w:spacing w:before="0" w:after="180"/>
        <w:ind w:left="360"/>
      </w:pPr>
      <w:r>
        <w:rPr>
          <w:rFonts w:ascii="Arial" w:cs="Arial" w:eastAsia="Arial" w:hAnsi="Arial"/>
          <w:i/>
          <w:iCs/>
          <w:color w:val="5A6E8A"/>
          <w:sz w:val="18"/>
          <w:szCs w:val="18"/>
        </w:rPr>
        <w:t xml:space="preserve">Why this document is different</w:t>
      </w:r>
    </w:p>
    <w:p>
      <w:pPr>
        <w:spacing w:before="0" w:after="140" w:line="290"/>
        <w:jc w:val="left"/>
      </w:pPr>
      <w:r>
        <w:rPr>
          <w:rFonts w:ascii="Arial" w:cs="Arial" w:eastAsia="Arial" w:hAnsi="Arial"/>
          <w:b w:val="false"/>
          <w:bCs w:val="false"/>
          <w:i w:val="false"/>
          <w:iCs w:val="false"/>
          <w:color w:val="0E1A2E"/>
          <w:sz w:val="22"/>
          <w:szCs w:val="22"/>
        </w:rPr>
        <w:t xml:space="preserve">FORA is a civic engagement platform. That means we collect data that is more sensitive, more politically significant, and more personally meaningful than what most platforms touch. We know your address, your occupation, your professional license, your military service, your organizational memberships, and your pattern of engagement with contested civic questions.</w:t>
      </w:r>
    </w:p>
    <w:p>
      <w:pPr>
        <w:spacing w:before="0" w:after="140" w:line="290"/>
        <w:jc w:val="left"/>
      </w:pPr>
      <w:r>
        <w:rPr>
          <w:rFonts w:ascii="Arial" w:cs="Arial" w:eastAsia="Arial" w:hAnsi="Arial"/>
          <w:b w:val="false"/>
          <w:bCs w:val="false"/>
          <w:i w:val="false"/>
          <w:iCs w:val="false"/>
          <w:color w:val="0E1A2E"/>
          <w:sz w:val="22"/>
          <w:szCs w:val="22"/>
        </w:rPr>
        <w:t xml:space="preserve">We wrote this policy to tell you exactly what we do with all of it. Not in legal language designed to obscure — in plain English designed to be understood.</w:t>
      </w:r>
    </w:p>
    <w:p>
      <w:pPr>
        <w:spacing w:before="0" w:after="140" w:line="290"/>
        <w:jc w:val="left"/>
      </w:pPr>
      <w:r>
        <w:rPr>
          <w:rFonts w:ascii="Arial" w:cs="Arial" w:eastAsia="Arial" w:hAnsi="Arial"/>
          <w:b w:val="false"/>
          <w:bCs w:val="false"/>
          <w:i w:val="false"/>
          <w:iCs w:val="false"/>
          <w:color w:val="0E1A2E"/>
          <w:sz w:val="22"/>
          <w:szCs w:val="22"/>
        </w:rPr>
        <w:t xml:space="preserve">If you have questions about anything in this document, you can reach us at privacy@fora.gov [placeholder]. If you believe we have violated this policy, you have the right to tell us, and to tell the public.</w:t>
      </w:r>
    </w:p>
    <w:p>
      <w:pPr>
        <w:pBdr>
          <w:top w:val="none"/>
          <w:left w:val="single" w:color="B8860B" w:sz="14" w:space="8"/>
          <w:bottom w:val="none"/>
          <w:right w:val="none"/>
        </w:pBdr>
        <w:shd w:fill="FDF3DC" w:val="clear"/>
        <w:spacing w:before="120" w:after="120"/>
        <w:ind w:left="200" w:right="400"/>
      </w:pPr>
      <w:r>
        <w:rPr>
          <w:rFonts w:ascii="Arial" w:cs="Arial" w:eastAsia="Arial" w:hAnsi="Arial"/>
          <w:b/>
          <w:bCs/>
          <w:color w:val="B8860B"/>
          <w:sz w:val="19"/>
          <w:szCs w:val="19"/>
        </w:rPr>
        <w:t xml:space="preserve">This policy is itself subject to FORA’s amendment process.  </w:t>
      </w:r>
      <w:r>
        <w:rPr>
          <w:rFonts w:ascii="Arial" w:cs="Arial" w:eastAsia="Arial" w:hAnsi="Arial"/>
          <w:i w:val="false"/>
          <w:iCs w:val="false"/>
          <w:color w:val="6b4f00"/>
          <w:sz w:val="19"/>
          <w:szCs w:val="19"/>
        </w:rPr>
        <w:t xml:space="preserve">Any registered user may propose a change to these terms through the same deliberation system used for all FORA content. The governing board retains final authority, but the community deliberates first.</w:t>
      </w:r>
    </w:p>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pBdr>
          <w:bottom w:val="single" w:color="1B3A6B" w:sz="6" w:space="1"/>
        </w:pBdr>
        <w:spacing w:before="120" w:after="120"/>
      </w:pPr>
      <w:r>
        <w:rPr>
          <w:rFonts w:ascii="Arial" w:cs="Arial" w:eastAsia="Arial" w:hAnsi="Arial"/>
          <w:sz w:val="4"/>
          <w:szCs w:val="4"/>
        </w:rPr>
        <w:t xml:space="preserve"/>
      </w:r>
    </w:p>
    <w:p>
      <w:pPr>
        <w:pBdr>
          <w:top w:val="none" w:color="FFFFFF" w:sz="0"/>
          <w:left w:val="single" w:color="1B3A6B" w:sz="16" w:space="8"/>
          <w:bottom w:val="none" w:color="FFFFFF" w:sz="0"/>
          <w:right w:val="none" w:color="FFFFFF" w:sz="0"/>
        </w:pBdr>
        <w:spacing w:before="320" w:after="160"/>
        <w:ind w:left="200"/>
      </w:pPr>
      <w:r>
        <w:rPr>
          <w:rFonts w:ascii="Arial" w:cs="Arial" w:eastAsia="Arial" w:hAnsi="Arial"/>
          <w:b/>
          <w:bCs/>
          <w:color w:val="1B3A6B"/>
          <w:sz w:val="28"/>
          <w:szCs w:val="28"/>
        </w:rPr>
        <w:t xml:space="preserve">1. What We Collect and Why</w:t>
      </w:r>
    </w:p>
    <w:p>
      <w:pPr>
        <w:spacing w:before="0" w:after="140" w:line="290"/>
        <w:jc w:val="left"/>
      </w:pPr>
      <w:r>
        <w:rPr>
          <w:rFonts w:ascii="Arial" w:cs="Arial" w:eastAsia="Arial" w:hAnsi="Arial"/>
          <w:b w:val="false"/>
          <w:bCs w:val="false"/>
          <w:i w:val="false"/>
          <w:iCs w:val="false"/>
          <w:color w:val="0E1A2E"/>
          <w:sz w:val="22"/>
          <w:szCs w:val="22"/>
        </w:rPr>
        <w:t xml:space="preserve">FORA collects only what it needs to fulfill a specific civic function. Every field has a reason. Where the reason is legally grounded, we cite the law. Where it is a design choice, we explain our reasoning.</w:t>
      </w:r>
    </w:p>
    <w:p>
      <w:pPr>
        <w:spacing w:before="0" w:after="80"/>
      </w:pPr>
      <w:r>
        <w:rPr>
          <w:rFonts w:ascii="Arial" w:cs="Arial" w:eastAsia="Arial" w:hAnsi="Arial"/>
          <w:sz w:val="22"/>
          <w:szCs w:val="22"/>
        </w:rPr>
        <w:t xml:space="preserve"/>
      </w:r>
    </w:p>
    <w:p>
      <w:pPr>
        <w:pBdr>
          <w:bottom w:val="single" w:color="D5DCE8" w:sz="2" w:space="2"/>
        </w:pBdr>
        <w:spacing w:before="200" w:after="80"/>
      </w:pPr>
      <w:r>
        <w:rPr>
          <w:rFonts w:ascii="Arial" w:cs="Arial" w:eastAsia="Arial" w:hAnsi="Arial"/>
          <w:b/>
          <w:bCs/>
          <w:color w:val="2C3E5A"/>
          <w:sz w:val="22"/>
          <w:szCs w:val="22"/>
        </w:rPr>
        <w:t xml:space="preserve">1a. Account identifiers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First name — used internally to address you. Never displayed publicly.</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Email address — account recovery and notification preferences only. Never sold or shared.</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Phone number — one-time SMS verification to confirm you are a real person, not an automated account. After verification, your phone number is hashed using SHA-256 and the original is deleted. We cannot reconstruct your phone number from what we retain.</w:t>
      </w:r>
    </w:p>
    <w:p>
      <w:pPr>
        <w:pBdr>
          <w:top w:val="none"/>
          <w:left w:val="single" w:color="B8860B" w:sz="14" w:space="8"/>
          <w:bottom w:val="none"/>
          <w:right w:val="none"/>
        </w:pBdr>
        <w:shd w:fill="FDF3DC" w:val="clear"/>
        <w:spacing w:before="120" w:after="120"/>
        <w:ind w:left="200" w:right="400"/>
      </w:pPr>
      <w:r>
        <w:rPr>
          <w:rFonts w:ascii="Arial" w:cs="Arial" w:eastAsia="Arial" w:hAnsi="Arial"/>
          <w:b/>
          <w:bCs/>
          <w:color w:val="B8860B"/>
          <w:sz w:val="19"/>
          <w:szCs w:val="19"/>
        </w:rPr>
        <w:t xml:space="preserve">Why phone verification?  </w:t>
      </w:r>
      <w:r>
        <w:rPr>
          <w:rFonts w:ascii="Arial" w:cs="Arial" w:eastAsia="Arial" w:hAnsi="Arial"/>
          <w:i w:val="false"/>
          <w:iCs w:val="false"/>
          <w:color w:val="6b4f00"/>
          <w:sz w:val="19"/>
          <w:szCs w:val="19"/>
        </w:rPr>
        <w:t xml:space="preserve">Civic platforms are targets for coordinated inauthentic behavior — bots, sock puppets, and automated campaigns designed to distort public discourse. Phone verification is the current standard for real-person confirmation. Your number is used once and then rendered unrecoverable.</w:t>
      </w:r>
    </w:p>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pBdr>
          <w:bottom w:val="single" w:color="D5DCE8" w:sz="2" w:space="2"/>
        </w:pBdr>
        <w:spacing w:before="200" w:after="80"/>
      </w:pPr>
      <w:r>
        <w:rPr>
          <w:rFonts w:ascii="Arial" w:cs="Arial" w:eastAsia="Arial" w:hAnsi="Arial"/>
          <w:b/>
          <w:bCs/>
          <w:color w:val="2C3E5A"/>
          <w:sz w:val="22"/>
          <w:szCs w:val="22"/>
        </w:rPr>
        <w:t xml:space="preserve">1b. Date of birth</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We collect your full birthdate during account creation.</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We display your age range to your community (e.g. ’35–44’). Your exact birthdate is never shown.</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Your birthdate is encrypted at rest using AES-256 encryption with a key held separately from your data. It cannot be recovered by FORA staff in the normal course of operations.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We use your birthdate to compute your age range, to comply with children’s privacy law, and to surface generational patterns in civic engagement — never for advertising.</w:t>
      </w:r>
    </w:p>
    <w:p>
      <w:pPr>
        <w:pBdr>
          <w:top w:val="none"/>
          <w:left w:val="single" w:color="B8860B" w:sz="14" w:space="8"/>
          <w:bottom w:val="none"/>
          <w:right w:val="none"/>
        </w:pBdr>
        <w:shd w:fill="FDF3DC" w:val="clear"/>
        <w:spacing w:before="120" w:after="120"/>
        <w:ind w:left="200" w:right="400"/>
      </w:pPr>
      <w:r>
        <w:rPr>
          <w:rFonts w:ascii="Arial" w:cs="Arial" w:eastAsia="Arial" w:hAnsi="Arial"/>
          <w:b/>
          <w:bCs/>
          <w:color w:val="B8860B"/>
          <w:sz w:val="19"/>
          <w:szCs w:val="19"/>
        </w:rPr>
        <w:t xml:space="preserve">Legal basis:  </w:t>
      </w:r>
      <w:r>
        <w:rPr>
          <w:rFonts w:ascii="Arial" w:cs="Arial" w:eastAsia="Arial" w:hAnsi="Arial"/>
          <w:i w:val="false"/>
          <w:iCs w:val="false"/>
          <w:color w:val="6b4f00"/>
          <w:sz w:val="19"/>
          <w:szCs w:val="19"/>
        </w:rPr>
        <w:t xml:space="preserve">Children’s Online Privacy Protection Act · 15 U.S.C. § 6501 · FTC Rule 16 C.F.R. Part 312. Users under 13 may not register. Users 13–17 have restricted access to certain contested content.</w:t>
      </w:r>
    </w:p>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pBdr>
          <w:bottom w:val="single" w:color="D5DCE8" w:sz="2" w:space="2"/>
        </w:pBdr>
        <w:spacing w:before="200" w:after="80"/>
      </w:pPr>
      <w:r>
        <w:rPr>
          <w:rFonts w:ascii="Arial" w:cs="Arial" w:eastAsia="Arial" w:hAnsi="Arial"/>
          <w:b/>
          <w:bCs/>
          <w:color w:val="2C3E5A"/>
          <w:sz w:val="22"/>
          <w:szCs w:val="22"/>
        </w:rPr>
        <w:t xml:space="preserve">1c. Residential address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We collect your zip code during the initial platform experience to show you your government stack.</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We request your full residential address — street, city, state — during civic identity creation. Street address is optional but strongly recommended.</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Why full address matters: a zip code is a postal routing zone, not a political boundary. A single zip code can cross multiple cities, counties, congressional districts, and school districts. Without your street address, FORA may assign you to the wrong representative — particularly if you live near a district boundary.</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Your representatives at every level of government — federal, state, county, city, and school board — are determined by your exact residential address.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Your address is encrypted at rest. It is never displayed publicly. Your community sees only your region (e.g. ‘Mid-Atlantic’ or ‘Alexandria VA’).</w:t>
      </w:r>
    </w:p>
    <w:p>
      <w:pPr>
        <w:pBdr>
          <w:top w:val="none"/>
          <w:left w:val="single" w:color="B8860B" w:sz="14" w:space="8"/>
          <w:bottom w:val="none"/>
          <w:right w:val="none"/>
        </w:pBdr>
        <w:shd w:fill="FDF3DC" w:val="clear"/>
        <w:spacing w:before="120" w:after="120"/>
        <w:ind w:left="200" w:right="400"/>
      </w:pPr>
      <w:r>
        <w:rPr>
          <w:rFonts w:ascii="Arial" w:cs="Arial" w:eastAsia="Arial" w:hAnsi="Arial"/>
          <w:b/>
          <w:bCs/>
          <w:color w:val="B8860B"/>
          <w:sz w:val="19"/>
          <w:szCs w:val="19"/>
        </w:rPr>
        <w:t xml:space="preserve">Legal basis:  </w:t>
      </w:r>
      <w:r>
        <w:rPr>
          <w:rFonts w:ascii="Arial" w:cs="Arial" w:eastAsia="Arial" w:hAnsi="Arial"/>
          <w:i w:val="false"/>
          <w:iCs w:val="false"/>
          <w:color w:val="6b4f00"/>
          <w:sz w:val="19"/>
          <w:szCs w:val="19"/>
        </w:rPr>
        <w:t xml:space="preserve">Help America Vote Act · 52 U.S.C. § 20901 · National Voter Registration Act · 52 U.S.C. § 20501. FORA uses the same address resolution standard as voter registration.</w:t>
      </w:r>
    </w:p>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pBdr>
          <w:bottom w:val="single" w:color="D5DCE8" w:sz="2" w:space="2"/>
        </w:pBdr>
        <w:spacing w:before="200" w:after="80"/>
      </w:pPr>
      <w:r>
        <w:rPr>
          <w:rFonts w:ascii="Arial" w:cs="Arial" w:eastAsia="Arial" w:hAnsi="Arial"/>
          <w:b/>
          <w:bCs/>
          <w:color w:val="2C3E5A"/>
          <w:sz w:val="22"/>
          <w:szCs w:val="22"/>
        </w:rPr>
        <w:t xml:space="preserve">1d. Occupation and professional identity</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We collect your occupation category and, optionally, a second occupation.</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We collect a retired status flag, which converts your displayed occupation to ‘Retired [Field]’.</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Your occupation is your public civic identity. You do not choose how you are perceived — FORA derives your public identity from what you verify. A licensed engineer is displayed as a licensed engineer. A homemaker is displayed as a homemaker.</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Occupation provides context for your contributions, not a hierarchy of validity. A bartender commenting on alcohol licensing policy has direct standing. A homemaker commenting on school policy has direct standing. Everyone who lives somewhere has a stake in how it is governed.</w:t>
      </w:r>
    </w:p>
    <w:p>
      <w:pPr>
        <w:pBdr>
          <w:top w:val="none"/>
          <w:left w:val="single" w:color="B8860B" w:sz="14" w:space="8"/>
          <w:bottom w:val="none"/>
          <w:right w:val="none"/>
        </w:pBdr>
        <w:shd w:fill="FDF3DC" w:val="clear"/>
        <w:spacing w:before="120" w:after="120"/>
        <w:ind w:left="200" w:right="400"/>
      </w:pPr>
      <w:r>
        <w:rPr>
          <w:rFonts w:ascii="Arial" w:cs="Arial" w:eastAsia="Arial" w:hAnsi="Arial"/>
          <w:b/>
          <w:bCs/>
          <w:color w:val="B8860B"/>
          <w:sz w:val="19"/>
          <w:szCs w:val="19"/>
        </w:rPr>
        <w:t xml:space="preserve">Legal basis:  </w:t>
      </w:r>
      <w:r>
        <w:rPr>
          <w:rFonts w:ascii="Arial" w:cs="Arial" w:eastAsia="Arial" w:hAnsi="Arial"/>
          <w:i w:val="false"/>
          <w:iCs w:val="false"/>
          <w:color w:val="6b4f00"/>
          <w:sz w:val="19"/>
          <w:szCs w:val="19"/>
        </w:rPr>
        <w:t xml:space="preserve">First Amendment · U.S. Const. amend. I · Context is not censorship — it is civic literacy.</w:t>
      </w:r>
    </w:p>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pBdr>
          <w:bottom w:val="single" w:color="D5DCE8" w:sz="2" w:space="2"/>
        </w:pBdr>
        <w:spacing w:before="200" w:after="80"/>
      </w:pPr>
      <w:r>
        <w:rPr>
          <w:rFonts w:ascii="Arial" w:cs="Arial" w:eastAsia="Arial" w:hAnsi="Arial"/>
          <w:b/>
          <w:bCs/>
          <w:color w:val="2C3E5A"/>
          <w:sz w:val="22"/>
          <w:szCs w:val="22"/>
        </w:rPr>
        <w:t xml:space="preserve">1e. Military service</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Military service is collected as a separate civic credential, independent of occupation.</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We collect branch, service start year, and service end year (or active status).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Verification is available via DD-214 upload. A verified veteran receives a branch ribbon on their civic marker — a visual insignia separate from the ring system.</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Military service data is never used for advertising, never shared with defense contractors or political operatives, and never disclosed to the Department of Defense or any military branch absent a valid US court order.</w:t>
      </w:r>
    </w:p>
    <w:p>
      <w:pPr>
        <w:pBdr>
          <w:top w:val="none"/>
          <w:left w:val="single" w:color="B8860B" w:sz="14" w:space="8"/>
          <w:bottom w:val="none"/>
          <w:right w:val="none"/>
        </w:pBdr>
        <w:shd w:fill="FDF3DC" w:val="clear"/>
        <w:spacing w:before="120" w:after="120"/>
        <w:ind w:left="200" w:right="400"/>
      </w:pPr>
      <w:r>
        <w:rPr>
          <w:rFonts w:ascii="Arial" w:cs="Arial" w:eastAsia="Arial" w:hAnsi="Arial"/>
          <w:b/>
          <w:bCs/>
          <w:color w:val="B8860B"/>
          <w:sz w:val="19"/>
          <w:szCs w:val="19"/>
        </w:rPr>
        <w:t xml:space="preserve">Legal basis:  </w:t>
      </w:r>
      <w:r>
        <w:rPr>
          <w:rFonts w:ascii="Arial" w:cs="Arial" w:eastAsia="Arial" w:hAnsi="Arial"/>
          <w:i w:val="false"/>
          <w:iCs w:val="false"/>
          <w:color w:val="6b4f00"/>
          <w:sz w:val="19"/>
          <w:szCs w:val="19"/>
        </w:rPr>
        <w:t xml:space="preserve">Uniformed Services Employment and Reemployment Rights Act · 38 U.S.C. § 4301.</w:t>
      </w:r>
    </w:p>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pBdr>
          <w:bottom w:val="single" w:color="D5DCE8" w:sz="2" w:space="2"/>
        </w:pBdr>
        <w:spacing w:before="200" w:after="80"/>
      </w:pPr>
      <w:r>
        <w:rPr>
          <w:rFonts w:ascii="Arial" w:cs="Arial" w:eastAsia="Arial" w:hAnsi="Arial"/>
          <w:b/>
          <w:bCs/>
          <w:color w:val="2C3E5A"/>
          <w:sz w:val="22"/>
          <w:szCs w:val="22"/>
        </w:rPr>
        <w:t xml:space="preserve">1f. Professional organizations and union membership</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We collect organizational memberships as a separate civic credential.</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An IBEW card is a credential. ABA membership is a credential. These affiliations are part of your civic identity and provide context for your contributions.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Organizational membership is self-reported at registration. Verification is available for AFL-CIO affiliated union locals.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Your organizational memberships have First Amendment protection. We treat this data with the same sensitivity as political affiliation.</w:t>
      </w:r>
    </w:p>
    <w:p>
      <w:pPr>
        <w:pBdr>
          <w:top w:val="none"/>
          <w:left w:val="single" w:color="B8860B" w:sz="14" w:space="8"/>
          <w:bottom w:val="none"/>
          <w:right w:val="none"/>
        </w:pBdr>
        <w:shd w:fill="FDF3DC" w:val="clear"/>
        <w:spacing w:before="120" w:after="120"/>
        <w:ind w:left="200" w:right="400"/>
      </w:pPr>
      <w:r>
        <w:rPr>
          <w:rFonts w:ascii="Arial" w:cs="Arial" w:eastAsia="Arial" w:hAnsi="Arial"/>
          <w:b/>
          <w:bCs/>
          <w:color w:val="B8860B"/>
          <w:sz w:val="19"/>
          <w:szCs w:val="19"/>
        </w:rPr>
        <w:t xml:space="preserve">Legal basis:  </w:t>
      </w:r>
      <w:r>
        <w:rPr>
          <w:rFonts w:ascii="Arial" w:cs="Arial" w:eastAsia="Arial" w:hAnsi="Arial"/>
          <w:i w:val="false"/>
          <w:iCs w:val="false"/>
          <w:color w:val="6b4f00"/>
          <w:sz w:val="19"/>
          <w:szCs w:val="19"/>
        </w:rPr>
        <w:t xml:space="preserve">National Labor Relations Act · 29 U.S.C. § 151 · NAACP v. Alabama, 357 U.S. 449 (1958) · The Supreme Court has recognized that compelled disclosure of organizational membership can unconstitutionally chill the right of association.</w:t>
      </w:r>
    </w:p>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pBdr>
          <w:bottom w:val="single" w:color="D5DCE8" w:sz="2" w:space="2"/>
        </w:pBdr>
        <w:spacing w:before="200" w:after="80"/>
      </w:pPr>
      <w:r>
        <w:rPr>
          <w:rFonts w:ascii="Arial" w:cs="Arial" w:eastAsia="Arial" w:hAnsi="Arial"/>
          <w:b/>
          <w:bCs/>
          <w:color w:val="2C3E5A"/>
          <w:sz w:val="22"/>
          <w:szCs w:val="22"/>
        </w:rPr>
        <w:t xml:space="preserve">1g. Professional license and credential</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If you choose to verify a professional credential, we collect your credential type, issuing state, and license number.</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Your license number is used only to verify your credential against the issuing board’s public registry. After verification, your license number is hashed using SHA-256 and the original is permanently deleted. We cannot reconstruct your license number from what we retain. It is never displayed to other users.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Verification is processed through the relevant licensing registry (NCEES for engineers, state bar associations for attorneys, NPI registry for healthcare providers, AFL-CIO for union locals).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A verified credential earns you a gold ring — the highest credential marker on the platform. The gold ring is awarded only upon confirmed verification. Pending submissions receive no ring change.</w:t>
      </w:r>
    </w:p>
    <w:p>
      <w:pPr>
        <w:pBdr>
          <w:top w:val="none"/>
          <w:left w:val="single" w:color="B8860B" w:sz="14" w:space="8"/>
          <w:bottom w:val="none"/>
          <w:right w:val="none"/>
        </w:pBdr>
        <w:shd w:fill="FDF3DC" w:val="clear"/>
        <w:spacing w:before="120" w:after="120"/>
        <w:ind w:left="200" w:right="400"/>
      </w:pPr>
      <w:r>
        <w:rPr>
          <w:rFonts w:ascii="Arial" w:cs="Arial" w:eastAsia="Arial" w:hAnsi="Arial"/>
          <w:b/>
          <w:bCs/>
          <w:color w:val="B8860B"/>
          <w:sz w:val="19"/>
          <w:szCs w:val="19"/>
        </w:rPr>
        <w:t xml:space="preserve">What we store:  </w:t>
      </w:r>
      <w:r>
        <w:rPr>
          <w:rFonts w:ascii="Arial" w:cs="Arial" w:eastAsia="Arial" w:hAnsi="Arial"/>
          <w:i w:val="false"/>
          <w:iCs w:val="false"/>
          <w:color w:val="6b4f00"/>
          <w:sz w:val="19"/>
          <w:szCs w:val="19"/>
        </w:rPr>
        <w:t xml:space="preserve">Credential type · Issuing state · Verification status (pending / confirmed / failed) · Verification timestamp · SHA-256 hash (not the license number itself). Nothing else.</w:t>
      </w:r>
    </w:p>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pBdr>
          <w:bottom w:val="single" w:color="D5DCE8" w:sz="2" w:space="2"/>
        </w:pBdr>
        <w:spacing w:before="200" w:after="80"/>
      </w:pPr>
      <w:r>
        <w:rPr>
          <w:rFonts w:ascii="Arial" w:cs="Arial" w:eastAsia="Arial" w:hAnsi="Arial"/>
          <w:b/>
          <w:bCs/>
          <w:color w:val="2C3E5A"/>
          <w:sz w:val="22"/>
          <w:szCs w:val="22"/>
        </w:rPr>
        <w:t xml:space="preserve">1h. Civic contributions and behavioral data</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FORA records your comments, amendment proposals, deliberation participation, upvotes, and votes.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FORA records which content sections you have opened — specifically for modal view counts, which determine the eligible pool for amendment votes. This is the only form of content tracking FORA performs.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Your civic score — a measure of contribution quality — is private to you only. It is never displayed publicly, never shared, and never used to restrict your ability to participate.</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Ring tiers (colored, silver, platinum) are derived from your contribution behavior and are visible to your community. They represent earned civic standing, not purchased or submitted status.</w:t>
      </w:r>
    </w:p>
    <w:p>
      <w:pPr>
        <w:spacing w:before="0" w:after="80"/>
      </w:pPr>
      <w:r>
        <w:rPr>
          <w:rFonts w:ascii="Arial" w:cs="Arial" w:eastAsia="Arial" w:hAnsi="Arial"/>
          <w:sz w:val="22"/>
          <w:szCs w:val="22"/>
        </w:rPr>
        <w:t xml:space="preserve"/>
      </w:r>
    </w:p>
    <w:p>
      <w:pPr>
        <w:pBdr>
          <w:bottom w:val="single" w:color="D5DCE8" w:sz="2" w:space="2"/>
        </w:pBdr>
        <w:spacing w:before="200" w:after="80"/>
      </w:pPr>
      <w:r>
        <w:rPr>
          <w:rFonts w:ascii="Arial" w:cs="Arial" w:eastAsia="Arial" w:hAnsi="Arial"/>
          <w:b/>
          <w:bCs/>
          <w:color w:val="2C3E5A"/>
          <w:sz w:val="22"/>
          <w:szCs w:val="22"/>
        </w:rPr>
        <w:t xml:space="preserve">1i. Sponsored marker program</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FORA offers users the option to voluntarily display a civic-aligned sponsor in their identity circle — the area around their avatar on their civic marker.</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This is strictly opt-in. Users who do not participate see no difference in their experience.</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Participating sponsors are reviewed and approved by FORA’s governing board. Sponsors may not be political campaigns, PACs, advocacy organizations, or any entity whose primary activity is influencing elections or legislation.</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FORA does not use your behavioral data, contribution history, or civic identity for ad targeting — ever. The sponsored marker program is a visibility arrangement, not a behavioral advertising system.</w:t>
      </w:r>
    </w:p>
    <w:p>
      <w:pPr>
        <w:pBdr>
          <w:top w:val="none"/>
          <w:left w:val="single" w:color="B8860B" w:sz="14" w:space="8"/>
          <w:bottom w:val="none"/>
          <w:right w:val="none"/>
        </w:pBdr>
        <w:shd w:fill="FDF3DC" w:val="clear"/>
        <w:spacing w:before="120" w:after="120"/>
        <w:ind w:left="200" w:right="400"/>
      </w:pPr>
      <w:r>
        <w:rPr>
          <w:rFonts w:ascii="Arial" w:cs="Arial" w:eastAsia="Arial" w:hAnsi="Arial"/>
          <w:b/>
          <w:bCs/>
          <w:color w:val="B8860B"/>
          <w:sz w:val="19"/>
          <w:szCs w:val="19"/>
        </w:rPr>
        <w:t xml:space="preserve">What this is not:  </w:t>
      </w:r>
      <w:r>
        <w:rPr>
          <w:rFonts w:ascii="Arial" w:cs="Arial" w:eastAsia="Arial" w:hAnsi="Arial"/>
          <w:i w:val="false"/>
          <w:iCs w:val="false"/>
          <w:color w:val="6b4f00"/>
          <w:sz w:val="19"/>
          <w:szCs w:val="19"/>
        </w:rPr>
        <w:t xml:space="preserve">The sponsored marker program is not surveillance advertising. Your data is not shared with sponsors. Sponsors do not know who is displaying their mark or what those users have contributed.</w:t>
      </w:r>
    </w:p>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pBdr>
          <w:bottom w:val="single" w:color="1B3A6B" w:sz="6" w:space="1"/>
        </w:pBdr>
        <w:spacing w:before="120" w:after="120"/>
      </w:pPr>
      <w:r>
        <w:rPr>
          <w:rFonts w:ascii="Arial" w:cs="Arial" w:eastAsia="Arial" w:hAnsi="Arial"/>
          <w:sz w:val="4"/>
          <w:szCs w:val="4"/>
        </w:rPr>
        <w:t xml:space="preserve"/>
      </w:r>
    </w:p>
    <w:p>
      <w:pPr>
        <w:pBdr>
          <w:top w:val="none" w:color="FFFFFF" w:sz="0"/>
          <w:left w:val="single" w:color="1B3A6B" w:sz="16" w:space="8"/>
          <w:bottom w:val="none" w:color="FFFFFF" w:sz="0"/>
          <w:right w:val="none" w:color="FFFFFF" w:sz="0"/>
        </w:pBdr>
        <w:spacing w:before="320" w:after="60"/>
        <w:ind w:left="200"/>
      </w:pPr>
      <w:r>
        <w:rPr>
          <w:rFonts w:ascii="Arial" w:cs="Arial" w:eastAsia="Arial" w:hAnsi="Arial"/>
          <w:b/>
          <w:bCs/>
          <w:color w:val="1B3A6B"/>
          <w:sz w:val="28"/>
          <w:szCs w:val="28"/>
        </w:rPr>
        <w:t xml:space="preserve">2. Data Minimization by Design</w:t>
      </w:r>
    </w:p>
    <w:p>
      <w:pPr>
        <w:spacing w:before="0" w:after="180"/>
        <w:ind w:left="360"/>
      </w:pPr>
      <w:r>
        <w:rPr>
          <w:rFonts w:ascii="Arial" w:cs="Arial" w:eastAsia="Arial" w:hAnsi="Arial"/>
          <w:i/>
          <w:iCs/>
          <w:color w:val="5A6E8A"/>
          <w:sz w:val="18"/>
          <w:szCs w:val="18"/>
        </w:rPr>
        <w:t xml:space="preserve">We cannot be compelled to produce what we do not have</w:t>
      </w:r>
    </w:p>
    <w:p>
      <w:pPr>
        <w:spacing w:before="0" w:after="140" w:line="290"/>
        <w:jc w:val="left"/>
      </w:pPr>
      <w:r>
        <w:rPr>
          <w:rFonts w:ascii="Arial" w:cs="Arial" w:eastAsia="Arial" w:hAnsi="Arial"/>
          <w:b w:val="false"/>
          <w:bCs w:val="false"/>
          <w:i w:val="false"/>
          <w:iCs w:val="false"/>
          <w:color w:val="0E1A2E"/>
          <w:sz w:val="22"/>
          <w:szCs w:val="22"/>
        </w:rPr>
        <w:t xml:space="preserve">The most powerful privacy protection is not a policy — it is an architecture. FORA is designed to hold the minimum data necessary to function, and to make that data technically difficult to reconstruct even under legal compulsion.</w:t>
      </w:r>
    </w:p>
    <w:p>
      <w:pPr>
        <w:spacing w:before="0" w:after="80"/>
      </w:pPr>
      <w:r>
        <w:rPr>
          <w:rFonts w:ascii="Arial" w:cs="Arial" w:eastAsia="Arial" w:hAnsi="Arial"/>
          <w:sz w:val="22"/>
          <w:szCs w:val="22"/>
        </w:rPr>
        <w:t xml:space="preserve"/>
      </w:r>
    </w:p>
    <w:p>
      <w:pPr>
        <w:pBdr>
          <w:bottom w:val="single" w:color="D5DCE8" w:sz="2" w:space="2"/>
        </w:pBdr>
        <w:spacing w:before="200" w:after="80"/>
      </w:pPr>
      <w:r>
        <w:rPr>
          <w:rFonts w:ascii="Arial" w:cs="Arial" w:eastAsia="Arial" w:hAnsi="Arial"/>
          <w:b/>
          <w:bCs/>
          <w:color w:val="2C3E5A"/>
          <w:sz w:val="22"/>
          <w:szCs w:val="22"/>
        </w:rPr>
        <w:t xml:space="preserve">2a. The 72-hour session window</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When you post a contribution, FORA retains a session record — including your IP address and a linkable identifier — for 72 hours.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During this window, FORA’s moderation system can act on real-time safety concerns, including imminent threats and child safety violations.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After 72 hours, the session record is permanently deleted. What remains is your anonymized civic contribution — the content, your civic ID, your ring tier, your credential pill — with no technical path back to your real identity.</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This means that after 72 hours, FORA cannot identify you even if legally compelled to do so. We will produce whatever we have. We will not produce what we do not have.</w:t>
      </w:r>
    </w:p>
    <w:p>
      <w:pPr>
        <w:pBdr>
          <w:top w:val="none"/>
          <w:left w:val="single" w:color="B8860B" w:sz="14" w:space="8"/>
          <w:bottom w:val="none"/>
          <w:right w:val="none"/>
        </w:pBdr>
        <w:shd w:fill="FDF3DC" w:val="clear"/>
        <w:spacing w:before="120" w:after="120"/>
        <w:ind w:left="200" w:right="400"/>
      </w:pPr>
      <w:r>
        <w:rPr>
          <w:rFonts w:ascii="Arial" w:cs="Arial" w:eastAsia="Arial" w:hAnsi="Arial"/>
          <w:b/>
          <w:bCs/>
          <w:color w:val="B8860B"/>
          <w:sz w:val="19"/>
          <w:szCs w:val="19"/>
        </w:rPr>
        <w:t xml:space="preserve">Why 72 hours?  </w:t>
      </w:r>
      <w:r>
        <w:rPr>
          <w:rFonts w:ascii="Arial" w:cs="Arial" w:eastAsia="Arial" w:hAnsi="Arial"/>
          <w:i w:val="false"/>
          <w:iCs w:val="false"/>
          <w:color w:val="6b4f00"/>
          <w:sz w:val="19"/>
          <w:szCs w:val="19"/>
        </w:rPr>
        <w:t xml:space="preserve">Short enough to protect users from retrospective identification. Long enough for real-time moderation to act on Tier 3 safety situations. This window was chosen deliberately and is not subject to extension by law enforcement request.</w:t>
      </w:r>
    </w:p>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pBdr>
          <w:bottom w:val="single" w:color="D5DCE8" w:sz="2" w:space="2"/>
        </w:pBdr>
        <w:spacing w:before="200" w:after="80"/>
      </w:pPr>
      <w:r>
        <w:rPr>
          <w:rFonts w:ascii="Arial" w:cs="Arial" w:eastAsia="Arial" w:hAnsi="Arial"/>
          <w:b/>
          <w:bCs/>
          <w:color w:val="2C3E5A"/>
          <w:sz w:val="22"/>
          <w:szCs w:val="22"/>
        </w:rPr>
        <w:t xml:space="preserve">2b. Encrypted fields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Date of birth — AES-256, key held separately</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Residential address — AES-256, key held separately</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Phone number — SHA-256 hash, original deleted after verification</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License number — SHA-256 hash, original deleted after verification</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Union member ID — SHA-256 hash if provided, original deleted</w:t>
      </w:r>
    </w:p>
    <w:p>
      <w:pPr>
        <w:spacing w:before="0" w:after="140" w:line="290"/>
        <w:jc w:val="left"/>
      </w:pPr>
      <w:r>
        <w:rPr>
          <w:rFonts w:ascii="Arial" w:cs="Arial" w:eastAsia="Arial" w:hAnsi="Arial"/>
          <w:b w:val="false"/>
          <w:bCs w:val="false"/>
          <w:i w:val="false"/>
          <w:iCs w:val="false"/>
          <w:color w:val="0E1A2E"/>
          <w:sz w:val="22"/>
          <w:szCs w:val="22"/>
        </w:rPr>
        <w:t xml:space="preserve">Fields that are encrypted with a separately-held key cannot be read by FORA staff in the ordinary course of operations. They can only be accessed through a formal key-access procedure that creates an audit log.</w:t>
      </w:r>
    </w:p>
    <w:p>
      <w:pPr>
        <w:spacing w:before="0" w:after="80"/>
      </w:pPr>
      <w:r>
        <w:rPr>
          <w:rFonts w:ascii="Arial" w:cs="Arial" w:eastAsia="Arial" w:hAnsi="Arial"/>
          <w:sz w:val="22"/>
          <w:szCs w:val="22"/>
        </w:rPr>
        <w:t xml:space="preserve"/>
      </w:r>
    </w:p>
    <w:p>
      <w:pPr>
        <w:pBdr>
          <w:bottom w:val="single" w:color="1B3A6B" w:sz="6" w:space="1"/>
        </w:pBdr>
        <w:spacing w:before="120" w:after="120"/>
      </w:pPr>
      <w:r>
        <w:rPr>
          <w:rFonts w:ascii="Arial" w:cs="Arial" w:eastAsia="Arial" w:hAnsi="Arial"/>
          <w:sz w:val="4"/>
          <w:szCs w:val="4"/>
        </w:rPr>
        <w:t xml:space="preserve"/>
      </w:r>
    </w:p>
    <w:p>
      <w:pPr>
        <w:pBdr>
          <w:top w:val="none" w:color="FFFFFF" w:sz="0"/>
          <w:left w:val="single" w:color="1B3A6B" w:sz="16" w:space="8"/>
          <w:bottom w:val="none" w:color="FFFFFF" w:sz="0"/>
          <w:right w:val="none" w:color="FFFFFF" w:sz="0"/>
        </w:pBdr>
        <w:spacing w:before="320" w:after="160"/>
        <w:ind w:left="200"/>
      </w:pPr>
      <w:r>
        <w:rPr>
          <w:rFonts w:ascii="Arial" w:cs="Arial" w:eastAsia="Arial" w:hAnsi="Arial"/>
          <w:b/>
          <w:bCs/>
          <w:color w:val="1B3A6B"/>
          <w:sz w:val="28"/>
          <w:szCs w:val="28"/>
        </w:rPr>
        <w:t xml:space="preserve">3. Your Rights Over Your Data</w:t>
      </w:r>
    </w:p>
    <w:p>
      <w:pPr>
        <w:spacing w:before="0" w:after="140" w:line="290"/>
        <w:jc w:val="left"/>
      </w:pPr>
      <w:r>
        <w:rPr>
          <w:rFonts w:ascii="Arial" w:cs="Arial" w:eastAsia="Arial" w:hAnsi="Arial"/>
          <w:b w:val="false"/>
          <w:bCs w:val="false"/>
          <w:i w:val="false"/>
          <w:iCs w:val="false"/>
          <w:color w:val="0E1A2E"/>
          <w:sz w:val="22"/>
          <w:szCs w:val="22"/>
        </w:rPr>
        <w:t xml:space="preserve">You have meaningful control over your data at FORA. These are not nominal rights buried in a settings menu — they are accessible, honored, and irrevocable once exercised.</w:t>
      </w:r>
    </w:p>
    <w:p>
      <w:pPr>
        <w:spacing w:before="0" w:after="80"/>
      </w:pPr>
      <w:r>
        <w:rPr>
          <w:rFonts w:ascii="Arial" w:cs="Arial" w:eastAsia="Arial" w:hAnsi="Arial"/>
          <w:sz w:val="22"/>
          <w:szCs w:val="22"/>
        </w:rPr>
        <w:t xml:space="preserve"/>
      </w:r>
    </w:p>
    <w:p>
      <w:pPr>
        <w:pBdr>
          <w:bottom w:val="single" w:color="D5DCE8" w:sz="2" w:space="2"/>
        </w:pBdr>
        <w:spacing w:before="200" w:after="80"/>
      </w:pPr>
      <w:r>
        <w:rPr>
          <w:rFonts w:ascii="Arial" w:cs="Arial" w:eastAsia="Arial" w:hAnsi="Arial"/>
          <w:b/>
          <w:bCs/>
          <w:color w:val="2C3E5A"/>
          <w:sz w:val="22"/>
          <w:szCs w:val="22"/>
        </w:rPr>
        <w:t xml:space="preserve">3a. Access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You may request a complete export of all data FORA holds about you at any time. We will produce this within 30 days of your request. It will include everything in Section 1 that applies to your account, in a machine-readable format.</w:t>
      </w:r>
    </w:p>
    <w:p>
      <w:pPr>
        <w:spacing w:before="0" w:after="80"/>
      </w:pPr>
      <w:r>
        <w:rPr>
          <w:rFonts w:ascii="Arial" w:cs="Arial" w:eastAsia="Arial" w:hAnsi="Arial"/>
          <w:sz w:val="22"/>
          <w:szCs w:val="22"/>
        </w:rPr>
        <w:t xml:space="preserve"/>
      </w:r>
    </w:p>
    <w:p>
      <w:pPr>
        <w:pBdr>
          <w:bottom w:val="single" w:color="D5DCE8" w:sz="2" w:space="2"/>
        </w:pBdr>
        <w:spacing w:before="200" w:after="80"/>
      </w:pPr>
      <w:r>
        <w:rPr>
          <w:rFonts w:ascii="Arial" w:cs="Arial" w:eastAsia="Arial" w:hAnsi="Arial"/>
          <w:b/>
          <w:bCs/>
          <w:color w:val="2C3E5A"/>
          <w:sz w:val="22"/>
          <w:szCs w:val="22"/>
        </w:rPr>
        <w:t xml:space="preserve">3b. Correction</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You may correct any factual data in your civic profile at any time through your account settings. Changes to credential information require re-verification.</w:t>
      </w:r>
    </w:p>
    <w:p>
      <w:pPr>
        <w:spacing w:before="0" w:after="80"/>
      </w:pPr>
      <w:r>
        <w:rPr>
          <w:rFonts w:ascii="Arial" w:cs="Arial" w:eastAsia="Arial" w:hAnsi="Arial"/>
          <w:sz w:val="22"/>
          <w:szCs w:val="22"/>
        </w:rPr>
        <w:t xml:space="preserve"/>
      </w:r>
    </w:p>
    <w:p>
      <w:pPr>
        <w:pBdr>
          <w:bottom w:val="single" w:color="D5DCE8" w:sz="2" w:space="2"/>
        </w:pBdr>
        <w:spacing w:before="200" w:after="80"/>
      </w:pPr>
      <w:r>
        <w:rPr>
          <w:rFonts w:ascii="Arial" w:cs="Arial" w:eastAsia="Arial" w:hAnsi="Arial"/>
          <w:b/>
          <w:bCs/>
          <w:color w:val="2C3E5A"/>
          <w:sz w:val="22"/>
          <w:szCs w:val="22"/>
        </w:rPr>
        <w:t xml:space="preserve">3c. Deletion — four options</w:t>
      </w:r>
    </w:p>
    <w:p>
      <w:pPr>
        <w:spacing w:before="0" w:after="140" w:line="290"/>
        <w:jc w:val="left"/>
      </w:pPr>
      <w:r>
        <w:rPr>
          <w:rFonts w:ascii="Arial" w:cs="Arial" w:eastAsia="Arial" w:hAnsi="Arial"/>
          <w:b w:val="false"/>
          <w:bCs w:val="false"/>
          <w:i w:val="false"/>
          <w:iCs w:val="false"/>
          <w:color w:val="0E1A2E"/>
          <w:sz w:val="22"/>
          <w:szCs w:val="22"/>
        </w:rPr>
        <w:t xml:space="preserve">When you delete your FORA account, you choose what happens to your contributions. This choice is presented at the time of deletion and is irrevocable. The four options are:</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Remove everything — your account and all contributions are permanently deleted. Comments disappear. Amendment proposals are withdrawn. Votes are un-counted. The civic record has gaps where your voice was.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Anonymize — your contributions remain exactly as written, but your identity is stripped. Your comments are attributed to ‘Former Member.’ The deliberation record stays intact. This is the default option.</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30 days, then anonymize — your account is deactivated immediately, giving you 30 days to change your mind. After 30 days, anonymization is applied automatically.</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Publish my identity — your contributions remain and become permanently attributed to your real name, which FORA will reveal from the internal record. This is the opposite of anonymization — a civic act of standing behind everything you wrote.</w:t>
      </w:r>
    </w:p>
    <w:p>
      <w:pPr>
        <w:pBdr>
          <w:top w:val="none"/>
          <w:left w:val="single" w:color="B8860B" w:sz="14" w:space="8"/>
          <w:bottom w:val="none"/>
          <w:right w:val="none"/>
        </w:pBdr>
        <w:shd w:fill="FDF3DC" w:val="clear"/>
        <w:spacing w:before="120" w:after="120"/>
        <w:ind w:left="200" w:right="400"/>
      </w:pPr>
      <w:r>
        <w:rPr>
          <w:rFonts w:ascii="Arial" w:cs="Arial" w:eastAsia="Arial" w:hAnsi="Arial"/>
          <w:b/>
          <w:bCs/>
          <w:color w:val="B8860B"/>
          <w:sz w:val="19"/>
          <w:szCs w:val="19"/>
        </w:rPr>
        <w:t xml:space="preserve">Note on ‘Remove everything’:  </w:t>
      </w:r>
      <w:r>
        <w:rPr>
          <w:rFonts w:ascii="Arial" w:cs="Arial" w:eastAsia="Arial" w:hAnsi="Arial"/>
          <w:i w:val="false"/>
          <w:iCs w:val="false"/>
          <w:color w:val="6b4f00"/>
          <w:sz w:val="19"/>
          <w:szCs w:val="19"/>
        </w:rPr>
        <w:t xml:space="preserve">If an amendment you proposed was ratified and changed content that other users have since engaged with, removing the proposal creates an orphaned record. FORA will note ‘[original proposal removed by user]’ in the amendment history. The amendment itself remains in effect unless separately challenged.</w:t>
      </w:r>
    </w:p>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pBdr>
          <w:bottom w:val="single" w:color="D5DCE8" w:sz="2" w:space="2"/>
        </w:pBdr>
        <w:spacing w:before="200" w:after="80"/>
      </w:pPr>
      <w:r>
        <w:rPr>
          <w:rFonts w:ascii="Arial" w:cs="Arial" w:eastAsia="Arial" w:hAnsi="Arial"/>
          <w:b/>
          <w:bCs/>
          <w:color w:val="2C3E5A"/>
          <w:sz w:val="22"/>
          <w:szCs w:val="22"/>
        </w:rPr>
        <w:t xml:space="preserve">3d. Right to be forgotten (EU/California users)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FORA honors GDPR Article 17 right to erasure and CCPA § 1798.105 right to delete for applicable users.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The ‘Remove everything’ deletion option satisfies the right to erasure. The anonymization options may not fully satisfy the right to erasure depending on jurisdiction — if you require full erasure, select ‘Remove everything.’</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FORA does not serve EU users at launch. This section is included in anticipation of future expansion.</w:t>
      </w:r>
    </w:p>
    <w:p>
      <w:pPr>
        <w:spacing w:before="0" w:after="80"/>
      </w:pPr>
      <w:r>
        <w:rPr>
          <w:rFonts w:ascii="Arial" w:cs="Arial" w:eastAsia="Arial" w:hAnsi="Arial"/>
          <w:sz w:val="22"/>
          <w:szCs w:val="22"/>
        </w:rPr>
        <w:t xml:space="preserve"/>
      </w:r>
    </w:p>
    <w:p>
      <w:pPr>
        <w:pBdr>
          <w:bottom w:val="single" w:color="D5DCE8" w:sz="2" w:space="2"/>
        </w:pBdr>
        <w:spacing w:before="200" w:after="80"/>
      </w:pPr>
      <w:r>
        <w:rPr>
          <w:rFonts w:ascii="Arial" w:cs="Arial" w:eastAsia="Arial" w:hAnsi="Arial"/>
          <w:b/>
          <w:bCs/>
          <w:color w:val="2C3E5A"/>
          <w:sz w:val="22"/>
          <w:szCs w:val="22"/>
        </w:rPr>
        <w:t xml:space="preserve">3e. Opt-out of the sponsored marker program</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You may opt out of the sponsored marker program at any time in your account settings. Opting out takes effect immediately.</w:t>
      </w:r>
    </w:p>
    <w:p>
      <w:pPr>
        <w:spacing w:before="0" w:after="80"/>
      </w:pPr>
      <w:r>
        <w:rPr>
          <w:rFonts w:ascii="Arial" w:cs="Arial" w:eastAsia="Arial" w:hAnsi="Arial"/>
          <w:sz w:val="22"/>
          <w:szCs w:val="22"/>
        </w:rPr>
        <w:t xml:space="preserve"/>
      </w:r>
    </w:p>
    <w:p>
      <w:pPr>
        <w:pBdr>
          <w:bottom w:val="single" w:color="1B3A6B" w:sz="6" w:space="1"/>
        </w:pBdr>
        <w:spacing w:before="120" w:after="120"/>
      </w:pPr>
      <w:r>
        <w:rPr>
          <w:rFonts w:ascii="Arial" w:cs="Arial" w:eastAsia="Arial" w:hAnsi="Arial"/>
          <w:sz w:val="4"/>
          <w:szCs w:val="4"/>
        </w:rPr>
        <w:t xml:space="preserve"/>
      </w:r>
    </w:p>
    <w:p>
      <w:pPr>
        <w:pBdr>
          <w:top w:val="none" w:color="FFFFFF" w:sz="0"/>
          <w:left w:val="single" w:color="1B3A6B" w:sz="16" w:space="8"/>
          <w:bottom w:val="none" w:color="FFFFFF" w:sz="0"/>
          <w:right w:val="none" w:color="FFFFFF" w:sz="0"/>
        </w:pBdr>
        <w:spacing w:before="320" w:after="60"/>
        <w:ind w:left="200"/>
      </w:pPr>
      <w:r>
        <w:rPr>
          <w:rFonts w:ascii="Arial" w:cs="Arial" w:eastAsia="Arial" w:hAnsi="Arial"/>
          <w:b/>
          <w:bCs/>
          <w:color w:val="1B3A6B"/>
          <w:sz w:val="28"/>
          <w:szCs w:val="28"/>
        </w:rPr>
        <w:t xml:space="preserve">4. Research and Data Partnerships</w:t>
      </w:r>
    </w:p>
    <w:p>
      <w:pPr>
        <w:spacing w:before="0" w:after="180"/>
        <w:ind w:left="360"/>
      </w:pPr>
      <w:r>
        <w:rPr>
          <w:rFonts w:ascii="Arial" w:cs="Arial" w:eastAsia="Arial" w:hAnsi="Arial"/>
          <w:i/>
          <w:iCs/>
          <w:color w:val="5A6E8A"/>
          <w:sz w:val="18"/>
          <w:szCs w:val="18"/>
        </w:rPr>
        <w:t xml:space="preserve">Community deliberation · Governing board veto</w:t>
      </w:r>
    </w:p>
    <w:p>
      <w:pPr>
        <w:spacing w:before="0" w:after="140" w:line="290"/>
        <w:jc w:val="left"/>
      </w:pPr>
      <w:r>
        <w:rPr>
          <w:rFonts w:ascii="Arial" w:cs="Arial" w:eastAsia="Arial" w:hAnsi="Arial"/>
          <w:b w:val="false"/>
          <w:bCs w:val="false"/>
          <w:i w:val="false"/>
          <w:iCs w:val="false"/>
          <w:color w:val="0E1A2E"/>
          <w:sz w:val="22"/>
          <w:szCs w:val="22"/>
        </w:rPr>
        <w:t xml:space="preserve">The civic engagement data FORA accumulates is valuable to researchers who study democracy, political participation, and public discourse. We take this responsibility seriously.</w:t>
      </w:r>
    </w:p>
    <w:p>
      <w:pPr>
        <w:spacing w:before="0" w:after="80"/>
      </w:pPr>
      <w:r>
        <w:rPr>
          <w:rFonts w:ascii="Arial" w:cs="Arial" w:eastAsia="Arial" w:hAnsi="Arial"/>
          <w:sz w:val="22"/>
          <w:szCs w:val="22"/>
        </w:rPr>
        <w:t xml:space="preserve"/>
      </w:r>
    </w:p>
    <w:p>
      <w:pPr>
        <w:pBdr>
          <w:bottom w:val="single" w:color="D5DCE8" w:sz="2" w:space="2"/>
        </w:pBdr>
        <w:spacing w:before="200" w:after="80"/>
      </w:pPr>
      <w:r>
        <w:rPr>
          <w:rFonts w:ascii="Arial" w:cs="Arial" w:eastAsia="Arial" w:hAnsi="Arial"/>
          <w:b/>
          <w:bCs/>
          <w:color w:val="2C3E5A"/>
          <w:sz w:val="22"/>
          <w:szCs w:val="22"/>
        </w:rPr>
        <w:t xml:space="preserve">4a. What we will and will not share</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FORA will only share aggregated, anonymized data — statistical patterns that cannot identify any individual user. Individual-level data is never shared with any third party for any purpose other than legal compliance.</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FORA does not sell user data. FORA does not license behavioral profiles. FORA does not share engagement patterns with political campaigns, PACs, advocacy organizations, intelligence contractors, data brokers, or any entity whose primary business is the acquisition or resale of personal data.</w:t>
      </w:r>
    </w:p>
    <w:p>
      <w:pPr>
        <w:pBdr>
          <w:top w:val="none"/>
          <w:left w:val="single" w:color="B8860B" w:sz="14" w:space="8"/>
          <w:bottom w:val="none"/>
          <w:right w:val="none"/>
        </w:pBdr>
        <w:shd w:fill="FDF3DC" w:val="clear"/>
        <w:spacing w:before="120" w:after="120"/>
        <w:ind w:left="200" w:right="400"/>
      </w:pPr>
      <w:r>
        <w:rPr>
          <w:rFonts w:ascii="Arial" w:cs="Arial" w:eastAsia="Arial" w:hAnsi="Arial"/>
          <w:b/>
          <w:bCs/>
          <w:color w:val="B8860B"/>
          <w:sz w:val="19"/>
          <w:szCs w:val="19"/>
        </w:rPr>
        <w:t xml:space="preserve">Who buys social and civic data:  </w:t>
      </w:r>
      <w:r>
        <w:rPr>
          <w:rFonts w:ascii="Arial" w:cs="Arial" w:eastAsia="Arial" w:hAnsi="Arial"/>
          <w:i w:val="false"/>
          <w:iCs w:val="false"/>
          <w:color w:val="6b4f00"/>
          <w:sz w:val="19"/>
          <w:szCs w:val="19"/>
        </w:rPr>
        <w:t xml:space="preserve">Data brokers (Acxiom, LiveRamp, Oracle Data Cloud), political operatives and opposition research firms, intelligence contractors (Palantir, Babel Street), insurance and financial services firms, and brand safety organizations will approach FORA for data access. None of these categories are eligible for data partnerships under this policy.</w:t>
      </w:r>
    </w:p>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pBdr>
          <w:bottom w:val="single" w:color="D5DCE8" w:sz="2" w:space="2"/>
        </w:pBdr>
        <w:spacing w:before="200" w:after="80"/>
      </w:pPr>
      <w:r>
        <w:rPr>
          <w:rFonts w:ascii="Arial" w:cs="Arial" w:eastAsia="Arial" w:hAnsi="Arial"/>
          <w:b/>
          <w:bCs/>
          <w:color w:val="2C3E5A"/>
          <w:sz w:val="22"/>
          <w:szCs w:val="22"/>
        </w:rPr>
        <w:t xml:space="preserve">4b. The application model</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Any organization seeking access to FORA’s aggregated data must submit a formal application describing the research purpose, methodology, funding sources, publication commitments, and the specific data requested.</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Applications are reviewed by FORA’s governing board and are subject to community deliberation on the FORA platform itself. The community’s deliberation is advisory. The governing board makes the final decision.</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FORA reserves the right to decline any application for any reason. Approval is not guaranteed, not automatic, and not subject to appeal.</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Approved partnerships are published in FORA’s annual Transparency Report, including the name of the partner, the scope of data shared, and the research purpose.</w:t>
      </w:r>
    </w:p>
    <w:p>
      <w:pPr>
        <w:spacing w:before="0" w:after="140" w:line="290"/>
        <w:jc w:val="left"/>
      </w:pPr>
      <w:r>
        <w:rPr>
          <w:rFonts w:ascii="Arial" w:cs="Arial" w:eastAsia="Arial" w:hAnsi="Arial"/>
          <w:b w:val="false"/>
          <w:bCs w:val="false"/>
          <w:i w:val="false"/>
          <w:iCs w:val="false"/>
          <w:color w:val="0E1A2E"/>
          <w:sz w:val="22"/>
          <w:szCs w:val="22"/>
        </w:rPr>
        <w:t xml:space="preserve">This language governs FORA’s current data sharing policy:</w:t>
      </w:r>
    </w:p>
    <w:p>
      <w:pPr>
        <w:pBdr>
          <w:top w:val="none" w:color="FFFFFF" w:sz="0"/>
          <w:left w:val="single" w:color="B8860B" w:sz="14" w:space="8"/>
          <w:bottom w:val="none" w:color="FFFFFF" w:sz="0"/>
          <w:right w:val="none" w:color="FFFFFF" w:sz="0"/>
        </w:pBdr>
        <w:spacing w:before="120" w:after="120"/>
        <w:ind w:left="360" w:right="720"/>
      </w:pPr>
      <w:r>
        <w:rPr>
          <w:rFonts w:ascii="Arial" w:cs="Arial" w:eastAsia="Arial" w:hAnsi="Arial"/>
          <w:i/>
          <w:iCs/>
          <w:color w:val="1B3A6B"/>
          <w:sz w:val="22"/>
          <w:szCs w:val="22"/>
        </w:rPr>
        <w:t xml:space="preserve">“FORA accepts applications for data partnerships on a case-by-case basis. Approval requires review by FORA’s governing board and is subject to community deliberation. FORA reserves the right to decline any application for any reason. Approved partnerships are published in FORA’s Transparency Report.”</w:t>
      </w:r>
    </w:p>
    <w:p>
      <w:pPr>
        <w:spacing w:before="0" w:after="80"/>
      </w:pPr>
      <w:r>
        <w:rPr>
          <w:rFonts w:ascii="Arial" w:cs="Arial" w:eastAsia="Arial" w:hAnsi="Arial"/>
          <w:sz w:val="22"/>
          <w:szCs w:val="22"/>
        </w:rPr>
        <w:t xml:space="preserve"/>
      </w:r>
    </w:p>
    <w:p>
      <w:pPr>
        <w:pBdr>
          <w:bottom w:val="single" w:color="D5DCE8" w:sz="2" w:space="2"/>
        </w:pBdr>
        <w:spacing w:before="200" w:after="80"/>
      </w:pPr>
      <w:r>
        <w:rPr>
          <w:rFonts w:ascii="Arial" w:cs="Arial" w:eastAsia="Arial" w:hAnsi="Arial"/>
          <w:b/>
          <w:bCs/>
          <w:color w:val="2C3E5A"/>
          <w:sz w:val="22"/>
          <w:szCs w:val="22"/>
        </w:rPr>
        <w:t xml:space="preserve">4c. Governing board control</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The founding governing board of FORA retains sole authority over data partnership decisions during the platform’s formative period.</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This is an intentional governance decision. The mission of FORA is civic integrity. That mission is not safe in the hands of market incentives alone. Until the platform has demonstrated that its community governance mechanisms are mature enough to protect its own mission, founding leadership retains control of data decisions.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This policy will be reviewed publicly every two years. The criteria for transferring data governance to community control will be published in the Transparency Report.</w:t>
      </w:r>
    </w:p>
    <w:p>
      <w:pPr>
        <w:spacing w:before="0" w:after="80"/>
      </w:pPr>
      <w:r>
        <w:rPr>
          <w:rFonts w:ascii="Arial" w:cs="Arial" w:eastAsia="Arial" w:hAnsi="Arial"/>
          <w:sz w:val="22"/>
          <w:szCs w:val="22"/>
        </w:rPr>
        <w:t xml:space="preserve"/>
      </w:r>
    </w:p>
    <w:p>
      <w:pPr>
        <w:pBdr>
          <w:bottom w:val="single" w:color="1B3A6B" w:sz="6" w:space="1"/>
        </w:pBdr>
        <w:spacing w:before="120" w:after="120"/>
      </w:pPr>
      <w:r>
        <w:rPr>
          <w:rFonts w:ascii="Arial" w:cs="Arial" w:eastAsia="Arial" w:hAnsi="Arial"/>
          <w:sz w:val="4"/>
          <w:szCs w:val="4"/>
        </w:rPr>
        <w:t xml:space="preserve"/>
      </w:r>
    </w:p>
    <w:p>
      <w:pPr>
        <w:pBdr>
          <w:top w:val="none" w:color="FFFFFF" w:sz="0"/>
          <w:left w:val="single" w:color="1B3A6B" w:sz="16" w:space="8"/>
          <w:bottom w:val="none" w:color="FFFFFF" w:sz="0"/>
          <w:right w:val="none" w:color="FFFFFF" w:sz="0"/>
        </w:pBdr>
        <w:spacing w:before="320" w:after="60"/>
        <w:ind w:left="200"/>
      </w:pPr>
      <w:r>
        <w:rPr>
          <w:rFonts w:ascii="Arial" w:cs="Arial" w:eastAsia="Arial" w:hAnsi="Arial"/>
          <w:b/>
          <w:bCs/>
          <w:color w:val="1B3A6B"/>
          <w:sz w:val="28"/>
          <w:szCs w:val="28"/>
        </w:rPr>
        <w:t xml:space="preserve">5. Government and Law Enforcement Requests</w:t>
      </w:r>
    </w:p>
    <w:p>
      <w:pPr>
        <w:spacing w:before="0" w:after="180"/>
        <w:ind w:left="360"/>
      </w:pPr>
      <w:r>
        <w:rPr>
          <w:rFonts w:ascii="Arial" w:cs="Arial" w:eastAsia="Arial" w:hAnsi="Arial"/>
          <w:i/>
          <w:iCs/>
          <w:color w:val="5A6E8A"/>
          <w:sz w:val="18"/>
          <w:szCs w:val="18"/>
        </w:rPr>
        <w:t xml:space="preserve">A three-tier framework</w:t>
      </w:r>
    </w:p>
    <w:p>
      <w:pPr>
        <w:spacing w:before="0" w:after="140" w:line="290"/>
        <w:jc w:val="left"/>
      </w:pPr>
      <w:r>
        <w:rPr>
          <w:rFonts w:ascii="Arial" w:cs="Arial" w:eastAsia="Arial" w:hAnsi="Arial"/>
          <w:b w:val="false"/>
          <w:bCs w:val="false"/>
          <w:i w:val="false"/>
          <w:iCs w:val="false"/>
          <w:color w:val="0E1A2E"/>
          <w:sz w:val="22"/>
          <w:szCs w:val="22"/>
        </w:rPr>
        <w:t xml:space="preserve">FORA operates a civic platform in a political environment. Governments — domestic and foreign — have historically been interested in who engages with political content and what they say. Our policy on government data requests is explicit, published, and designed to maximize user protection within the constraints of US law.</w:t>
      </w:r>
    </w:p>
    <w:p>
      <w:pPr>
        <w:spacing w:before="0" w:after="80"/>
      </w:pPr>
      <w:r>
        <w:rPr>
          <w:rFonts w:ascii="Arial" w:cs="Arial" w:eastAsia="Arial" w:hAnsi="Arial"/>
          <w:sz w:val="22"/>
          <w:szCs w:val="22"/>
        </w:rPr>
        <w:t xml:space="preserve"/>
      </w:r>
    </w:p>
    <w:p>
      <w:pPr>
        <w:pBdr>
          <w:left w:val="single" w:color="1B3A6B" w:sz="14" w:space="6"/>
        </w:pBdr>
        <w:shd w:fill="F2F4F8" w:val="clear"/>
        <w:spacing w:before="160" w:after="60"/>
        <w:ind w:left="0"/>
      </w:pPr>
      <w:r>
        <w:rPr>
          <w:rFonts w:ascii="Arial" w:cs="Arial" w:eastAsia="Arial" w:hAnsi="Arial"/>
          <w:b/>
          <w:bCs/>
          <w:color w:val="FFFFFF"/>
          <w:sz w:val="20"/>
          <w:szCs w:val="20"/>
        </w:rPr>
        <w:t xml:space="preserve">  Tier 1  </w:t>
      </w:r>
      <w:r>
        <w:rPr>
          <w:rFonts w:ascii="Arial" w:cs="Arial" w:eastAsia="Arial" w:hAnsi="Arial"/>
          <w:b/>
          <w:bCs/>
          <w:color w:val="1B3A6B"/>
          <w:sz w:val="20"/>
          <w:szCs w:val="20"/>
        </w:rPr>
        <w:t xml:space="preserve">  FORA does not comply</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Requests from foreign governments — FORA does not recognize foreign legal process. Only US courts can compel FORA to produce anything.</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Requests without valid US legal process — verbal requests, informal inquiries, and requests not accompanied by a court order or subpoena are declined without review.</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Requests from political organizations, campaigns, PACs, data brokers, or intelligence contractors — these are not law enforcement and have no legal basis for data access.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FORA challenges Tier 1 requests and publishes the fact that they were received in its Transparency Report.</w:t>
      </w:r>
    </w:p>
    <w:p>
      <w:pPr>
        <w:spacing w:before="0" w:after="60"/>
      </w:pPr>
      <w:r>
        <w:rPr>
          <w:rFonts w:ascii="Arial" w:cs="Arial" w:eastAsia="Arial" w:hAnsi="Arial"/>
          <w:sz w:val="22"/>
          <w:szCs w:val="22"/>
        </w:rPr>
        <w:t xml:space="preserve"/>
      </w:r>
    </w:p>
    <w:p>
      <w:pPr>
        <w:pBdr>
          <w:left w:val="single" w:color="B8860B" w:sz="14" w:space="6"/>
        </w:pBdr>
        <w:shd w:fill="FDF3DC" w:val="clear"/>
        <w:spacing w:before="160" w:after="60"/>
        <w:ind w:left="0"/>
      </w:pPr>
      <w:r>
        <w:rPr>
          <w:rFonts w:ascii="Arial" w:cs="Arial" w:eastAsia="Arial" w:hAnsi="Arial"/>
          <w:b/>
          <w:bCs/>
          <w:color w:val="FFFFFF"/>
          <w:sz w:val="20"/>
          <w:szCs w:val="20"/>
        </w:rPr>
        <w:t xml:space="preserve">  Tier 2  </w:t>
      </w:r>
      <w:r>
        <w:rPr>
          <w:rFonts w:ascii="Arial" w:cs="Arial" w:eastAsia="Arial" w:hAnsi="Arial"/>
          <w:b/>
          <w:bCs/>
          <w:color w:val="B8860B"/>
          <w:sz w:val="20"/>
          <w:szCs w:val="20"/>
        </w:rPr>
        <w:t xml:space="preserve">  FORA evaluates and notifies where legally permitted</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Valid US law enforcement requests — subpoenas, court orders, and warrants from US federal or state courts.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FORA reviews the legal validity of the request. Defective process is challenged before compliance.</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Where no gag order prohibits it, FORA notifies the user that their data has been requested before producing anything, giving them time to seek legal counsel.</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FORA produces only the minimum data legally compelled. Given the 72-hour session window and data minimization architecture, what FORA can produce after 72 hours is limited: anonymized civic ID, hashed identifiers, contribution content.</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FORA publishes aggregate counts of Tier 2 requests received in its annual Transparency Report — the warrant canary principle.</w:t>
      </w:r>
    </w:p>
    <w:p>
      <w:pPr>
        <w:spacing w:before="0" w:after="60"/>
      </w:pPr>
      <w:r>
        <w:rPr>
          <w:rFonts w:ascii="Arial" w:cs="Arial" w:eastAsia="Arial" w:hAnsi="Arial"/>
          <w:sz w:val="22"/>
          <w:szCs w:val="22"/>
        </w:rPr>
        <w:t xml:space="preserve"/>
      </w:r>
    </w:p>
    <w:p>
      <w:pPr>
        <w:pBdr>
          <w:left w:val="single" w:color="8B1A1A" w:sz="14" w:space="6"/>
        </w:pBdr>
        <w:shd w:fill="FAEAEA" w:val="clear"/>
        <w:spacing w:before="160" w:after="60"/>
        <w:ind w:left="0"/>
      </w:pPr>
      <w:r>
        <w:rPr>
          <w:rFonts w:ascii="Arial" w:cs="Arial" w:eastAsia="Arial" w:hAnsi="Arial"/>
          <w:b/>
          <w:bCs/>
          <w:color w:val="FFFFFF"/>
          <w:sz w:val="20"/>
          <w:szCs w:val="20"/>
        </w:rPr>
        <w:t xml:space="preserve">  Tier 3  </w:t>
      </w:r>
      <w:r>
        <w:rPr>
          <w:rFonts w:ascii="Arial" w:cs="Arial" w:eastAsia="Arial" w:hAnsi="Arial"/>
          <w:b/>
          <w:bCs/>
          <w:color w:val="8B1A1A"/>
          <w:sz w:val="20"/>
          <w:szCs w:val="20"/>
        </w:rPr>
        <w:t xml:space="preserve">  FORA acts immediately</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Credible, specific, imminent threats to an identifiable person — FORA acts in real time, within the 72-hour session window.</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Child sexual abuse material or child exploitation — FORA reports immediately to the National Center for Missing and Exploited Children (NCMEC) as required by 18 U.S.C. § 2258A.</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Ongoing crimes with active, current victims — where FORA has real-time knowledge of a crime in progress causing harm to a living, identifiable person.</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Tier 3 actions report the content itself — the post, the image, the threat — not a full identity dossier. Law enforcement may pursue further records through normal Tier 2 process.</w:t>
      </w:r>
    </w:p>
    <w:p>
      <w:pPr>
        <w:spacing w:before="0" w:after="60"/>
      </w:pPr>
      <w:r>
        <w:rPr>
          <w:rFonts w:ascii="Arial" w:cs="Arial" w:eastAsia="Arial" w:hAnsi="Arial"/>
          <w:sz w:val="22"/>
          <w:szCs w:val="22"/>
        </w:rPr>
        <w:t xml:space="preserve"/>
      </w:r>
    </w:p>
    <w:p>
      <w:pPr>
        <w:spacing w:before="0" w:after="140" w:line="290"/>
        <w:jc w:val="left"/>
      </w:pPr>
      <w:r>
        <w:rPr>
          <w:rFonts w:ascii="Arial" w:cs="Arial" w:eastAsia="Arial" w:hAnsi="Arial"/>
          <w:b w:val="false"/>
          <w:bCs w:val="false"/>
          <w:i w:val="false"/>
          <w:iCs w:val="false"/>
          <w:color w:val="0E1A2E"/>
          <w:sz w:val="22"/>
          <w:szCs w:val="22"/>
        </w:rPr>
        <w:t xml:space="preserve">Past confessions to crimes that are no longer ongoing do not trigger Tier 3. A confession to a past crime — however serious — falls under Tier 2. FORA is not a court, does not have investigators, and does not maintain the legal authority to adjudicate historical conduct. If law enforcement is investigating a past crime and serves valid process, FORA complies with minimum necessary data through Tier 2.</w:t>
      </w:r>
    </w:p>
    <w:p>
      <w:pPr>
        <w:pBdr>
          <w:top w:val="none"/>
          <w:left w:val="single" w:color="B8860B" w:sz="14" w:space="8"/>
          <w:bottom w:val="none"/>
          <w:right w:val="none"/>
        </w:pBdr>
        <w:shd w:fill="FDF3DC" w:val="clear"/>
        <w:spacing w:before="120" w:after="120"/>
        <w:ind w:left="200" w:right="400"/>
      </w:pPr>
      <w:r>
        <w:rPr>
          <w:rFonts w:ascii="Arial" w:cs="Arial" w:eastAsia="Arial" w:hAnsi="Arial"/>
          <w:b/>
          <w:bCs/>
          <w:color w:val="B8860B"/>
          <w:sz w:val="19"/>
          <w:szCs w:val="19"/>
        </w:rPr>
        <w:t xml:space="preserve">Why this matters for users:  </w:t>
      </w:r>
      <w:r>
        <w:rPr>
          <w:rFonts w:ascii="Arial" w:cs="Arial" w:eastAsia="Arial" w:hAnsi="Arial"/>
          <w:i w:val="false"/>
          <w:iCs w:val="false"/>
          <w:color w:val="6b4f00"/>
          <w:sz w:val="19"/>
          <w:szCs w:val="19"/>
        </w:rPr>
        <w:t xml:space="preserve">FORA is designed to be a space where people with complicated lives can participate in civic discourse without fear that their past will be weaponized against them. A person who has lived outside the law but contributes meaningfully to conversations about education, housing, and public safety has civic standing. That standing must be protected.</w:t>
      </w:r>
    </w:p>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pBdr>
          <w:bottom w:val="single" w:color="D5DCE8" w:sz="2" w:space="2"/>
        </w:pBdr>
        <w:spacing w:before="200" w:after="80"/>
      </w:pPr>
      <w:r>
        <w:rPr>
          <w:rFonts w:ascii="Arial" w:cs="Arial" w:eastAsia="Arial" w:hAnsi="Arial"/>
          <w:b/>
          <w:bCs/>
          <w:color w:val="2C3E5A"/>
          <w:sz w:val="22"/>
          <w:szCs w:val="22"/>
        </w:rPr>
        <w:t xml:space="preserve">5a. Foreign government protection</w:t>
      </w:r>
    </w:p>
    <w:p>
      <w:pPr>
        <w:spacing w:before="0" w:after="140" w:line="290"/>
        <w:jc w:val="left"/>
      </w:pPr>
      <w:r>
        <w:rPr>
          <w:rFonts w:ascii="Arial" w:cs="Arial" w:eastAsia="Arial" w:hAnsi="Arial"/>
          <w:b w:val="false"/>
          <w:bCs w:val="false"/>
          <w:i w:val="false"/>
          <w:iCs w:val="false"/>
          <w:color w:val="0E1A2E"/>
          <w:sz w:val="22"/>
          <w:szCs w:val="22"/>
        </w:rPr>
        <w:t xml:space="preserve">FORA is used by people in countries with authoritarian governments. Users engaging with FORA’s Iran, Cuba, Venezuela, and Gaza jurisdiction pages may face physical danger if identified. The following protections apply specifically to these users: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FORA does not comply with foreign government requests under any circumstances.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FORA does not log IP addresses beyond the 72-hour session window.</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After 72 hours, FORA cannot identify a user’s nationality, location, or connection to any specific jurisdiction page. The data does not exist to be produced.</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FORA will not voluntarily share information about which users engaged with which jurisdiction pages with any government, domestic or foreign.</w:t>
      </w:r>
    </w:p>
    <w:p>
      <w:pPr>
        <w:spacing w:before="0" w:after="80"/>
      </w:pPr>
      <w:r>
        <w:rPr>
          <w:rFonts w:ascii="Arial" w:cs="Arial" w:eastAsia="Arial" w:hAnsi="Arial"/>
          <w:sz w:val="22"/>
          <w:szCs w:val="22"/>
        </w:rPr>
        <w:t xml:space="preserve"/>
      </w:r>
    </w:p>
    <w:p>
      <w:pPr>
        <w:pBdr>
          <w:bottom w:val="single" w:color="1B3A6B" w:sz="6" w:space="1"/>
        </w:pBdr>
        <w:spacing w:before="120" w:after="120"/>
      </w:pPr>
      <w:r>
        <w:rPr>
          <w:rFonts w:ascii="Arial" w:cs="Arial" w:eastAsia="Arial" w:hAnsi="Arial"/>
          <w:sz w:val="4"/>
          <w:szCs w:val="4"/>
        </w:rPr>
        <w:t xml:space="preserve"/>
      </w:r>
    </w:p>
    <w:p>
      <w:pPr>
        <w:pBdr>
          <w:top w:val="none" w:color="FFFFFF" w:sz="0"/>
          <w:left w:val="single" w:color="1B3A6B" w:sz="16" w:space="8"/>
          <w:bottom w:val="none" w:color="FFFFFF" w:sz="0"/>
          <w:right w:val="none" w:color="FFFFFF" w:sz="0"/>
        </w:pBdr>
        <w:spacing w:before="320" w:after="160"/>
        <w:ind w:left="200"/>
      </w:pPr>
      <w:r>
        <w:rPr>
          <w:rFonts w:ascii="Arial" w:cs="Arial" w:eastAsia="Arial" w:hAnsi="Arial"/>
          <w:b/>
          <w:bCs/>
          <w:color w:val="1B3A6B"/>
          <w:sz w:val="28"/>
          <w:szCs w:val="28"/>
        </w:rPr>
        <w:t xml:space="preserve">6. Data Retention</w:t>
      </w:r>
    </w:p>
    <w:p>
      <w:pPr>
        <w:spacing w:before="0" w:after="140" w:line="290"/>
        <w:jc w:val="left"/>
      </w:pPr>
      <w:r>
        <w:rPr>
          <w:rFonts w:ascii="Arial" w:cs="Arial" w:eastAsia="Arial" w:hAnsi="Arial"/>
          <w:b w:val="false"/>
          <w:bCs w:val="false"/>
          <w:i w:val="false"/>
          <w:iCs w:val="false"/>
          <w:color w:val="0E1A2E"/>
          <w:sz w:val="22"/>
          <w:szCs w:val="22"/>
        </w:rPr>
        <w:t xml:space="preserve">FORA retains data for as long as it serves a legitimate function. When that function ends, the data is deleted.</w:t>
      </w:r>
    </w:p>
    <w:p>
      <w:pPr>
        <w:spacing w:before="0" w:after="80"/>
      </w:pPr>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Session data (IP address, linkable identifiers) — 72 hours, then permanently deleted.</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Account data (name, email, hashed phone) — retained while account is active. Deleted upon account deletion request (30 days for grace-period option).</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Civic identity data (occupation, military service, org memberships) — retained while account is active. Deleted or anonymized per user’s deletion choice.</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Encrypted sensitive fields (DOB, address) — retained while account is active. Encrypted keys rotated annually. Deleted upon account deletion.</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Credential verification records — license number hash deleted immediately after verification is confirmed or failed. Verification status and timestamp retained to support the credential display. Deleted upon account deletion.</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Civic contributions — retained per user’s deletion choice (see Section 3c). Contributions that were part of a ratified amendment are noted in the amendment history even if the user deletes.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Research partnership data — aggregated, anonymized datasets shared with approved partners contain no user-level data and are not subject to deletion requests.</w:t>
      </w:r>
    </w:p>
    <w:p>
      <w:pPr>
        <w:spacing w:before="0" w:after="80"/>
      </w:pPr>
      <w:r>
        <w:rPr>
          <w:rFonts w:ascii="Arial" w:cs="Arial" w:eastAsia="Arial" w:hAnsi="Arial"/>
          <w:sz w:val="22"/>
          <w:szCs w:val="22"/>
        </w:rPr>
        <w:t xml:space="preserve"/>
      </w:r>
    </w:p>
    <w:p>
      <w:pPr>
        <w:pBdr>
          <w:bottom w:val="single" w:color="1B3A6B" w:sz="6" w:space="1"/>
        </w:pBdr>
        <w:spacing w:before="120" w:after="120"/>
      </w:pPr>
      <w:r>
        <w:rPr>
          <w:rFonts w:ascii="Arial" w:cs="Arial" w:eastAsia="Arial" w:hAnsi="Arial"/>
          <w:sz w:val="4"/>
          <w:szCs w:val="4"/>
        </w:rPr>
        <w:t xml:space="preserve"/>
      </w:r>
    </w:p>
    <w:p>
      <w:pPr>
        <w:pBdr>
          <w:top w:val="none" w:color="FFFFFF" w:sz="0"/>
          <w:left w:val="single" w:color="1B3A6B" w:sz="16" w:space="8"/>
          <w:bottom w:val="none" w:color="FFFFFF" w:sz="0"/>
          <w:right w:val="none" w:color="FFFFFF" w:sz="0"/>
        </w:pBdr>
        <w:spacing w:before="320" w:after="160"/>
        <w:ind w:left="200"/>
      </w:pPr>
      <w:r>
        <w:rPr>
          <w:rFonts w:ascii="Arial" w:cs="Arial" w:eastAsia="Arial" w:hAnsi="Arial"/>
          <w:b/>
          <w:bCs/>
          <w:color w:val="1B3A6B"/>
          <w:sz w:val="28"/>
          <w:szCs w:val="28"/>
        </w:rPr>
        <w:t xml:space="preserve">7. Children’s Privacy</w:t>
      </w:r>
    </w:p>
    <w:p>
      <w:pPr>
        <w:spacing w:before="0" w:after="140" w:line="290"/>
        <w:jc w:val="left"/>
      </w:pPr>
      <w:r>
        <w:rPr>
          <w:rFonts w:ascii="Arial" w:cs="Arial" w:eastAsia="Arial" w:hAnsi="Arial"/>
          <w:b w:val="false"/>
          <w:bCs w:val="false"/>
          <w:i w:val="false"/>
          <w:iCs w:val="false"/>
          <w:color w:val="0E1A2E"/>
          <w:sz w:val="22"/>
          <w:szCs w:val="22"/>
        </w:rPr>
        <w:t xml:space="preserve">FORA does not knowingly collect data from children under 13. If we discover that a user under 13 has registered, we will delete the account and all associated data immediately.</w:t>
      </w:r>
    </w:p>
    <w:p>
      <w:pPr>
        <w:spacing w:before="0" w:after="140" w:line="290"/>
        <w:jc w:val="left"/>
      </w:pPr>
      <w:r>
        <w:rPr>
          <w:rFonts w:ascii="Arial" w:cs="Arial" w:eastAsia="Arial" w:hAnsi="Arial"/>
          <w:b w:val="false"/>
          <w:bCs w:val="false"/>
          <w:i w:val="false"/>
          <w:iCs w:val="false"/>
          <w:color w:val="0E1A2E"/>
          <w:sz w:val="22"/>
          <w:szCs w:val="22"/>
        </w:rPr>
        <w:t xml:space="preserve">Users aged 13 to 17 may register but have restricted access to certain contested content. FORA does not target advertising at minors. The sponsored marker program is not available to users under 18.</w:t>
      </w:r>
    </w:p>
    <w:p>
      <w:pPr>
        <w:pBdr>
          <w:top w:val="none"/>
          <w:left w:val="single" w:color="B8860B" w:sz="14" w:space="8"/>
          <w:bottom w:val="none"/>
          <w:right w:val="none"/>
        </w:pBdr>
        <w:shd w:fill="FDF3DC" w:val="clear"/>
        <w:spacing w:before="120" w:after="120"/>
        <w:ind w:left="200" w:right="400"/>
      </w:pPr>
      <w:r>
        <w:rPr>
          <w:rFonts w:ascii="Arial" w:cs="Arial" w:eastAsia="Arial" w:hAnsi="Arial"/>
          <w:b/>
          <w:bCs/>
          <w:color w:val="B8860B"/>
          <w:sz w:val="19"/>
          <w:szCs w:val="19"/>
        </w:rPr>
        <w:t xml:space="preserve">Legal basis:  </w:t>
      </w:r>
      <w:r>
        <w:rPr>
          <w:rFonts w:ascii="Arial" w:cs="Arial" w:eastAsia="Arial" w:hAnsi="Arial"/>
          <w:i w:val="false"/>
          <w:iCs w:val="false"/>
          <w:color w:val="6b4f00"/>
          <w:sz w:val="19"/>
          <w:szCs w:val="19"/>
        </w:rPr>
        <w:t xml:space="preserve">15 U.S.C. § 6501 (COPPA) · FTC Rule 16 C.F.R. Part 312.</w:t>
      </w:r>
    </w:p>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pBdr>
          <w:bottom w:val="single" w:color="1B3A6B" w:sz="6" w:space="1"/>
        </w:pBdr>
        <w:spacing w:before="120" w:after="120"/>
      </w:pPr>
      <w:r>
        <w:rPr>
          <w:rFonts w:ascii="Arial" w:cs="Arial" w:eastAsia="Arial" w:hAnsi="Arial"/>
          <w:sz w:val="4"/>
          <w:szCs w:val="4"/>
        </w:rPr>
        <w:t xml:space="preserve"/>
      </w:r>
    </w:p>
    <w:p>
      <w:pPr>
        <w:pBdr>
          <w:top w:val="none" w:color="FFFFFF" w:sz="0"/>
          <w:left w:val="single" w:color="1B3A6B" w:sz="16" w:space="8"/>
          <w:bottom w:val="none" w:color="FFFFFF" w:sz="0"/>
          <w:right w:val="none" w:color="FFFFFF" w:sz="0"/>
        </w:pBdr>
        <w:spacing w:before="320" w:after="160"/>
        <w:ind w:left="200"/>
      </w:pPr>
      <w:r>
        <w:rPr>
          <w:rFonts w:ascii="Arial" w:cs="Arial" w:eastAsia="Arial" w:hAnsi="Arial"/>
          <w:b/>
          <w:bCs/>
          <w:color w:val="1B3A6B"/>
          <w:sz w:val="28"/>
          <w:szCs w:val="28"/>
        </w:rPr>
        <w:t xml:space="preserve">8. Transparency Report</w:t>
      </w:r>
    </w:p>
    <w:p>
      <w:pPr>
        <w:spacing w:before="0" w:after="140" w:line="290"/>
        <w:jc w:val="left"/>
      </w:pPr>
      <w:r>
        <w:rPr>
          <w:rFonts w:ascii="Arial" w:cs="Arial" w:eastAsia="Arial" w:hAnsi="Arial"/>
          <w:b w:val="false"/>
          <w:bCs w:val="false"/>
          <w:i w:val="false"/>
          <w:iCs w:val="false"/>
          <w:color w:val="0E1A2E"/>
          <w:sz w:val="22"/>
          <w:szCs w:val="22"/>
        </w:rPr>
        <w:t xml:space="preserve">FORA publishes an annual Transparency Report that includes: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Number of Tier 1 government requests received and declined</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Number of Tier 2 legal requests received, number complied with, number challenged</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Number of Tier 3 situations acted upon</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Number of data partnership applications received, approved, and declined</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Names and purposes of all approved research partnerships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Number of accounts deleted and deletion type selected</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Any changes to this Privacy Policy and the reason for the change</w:t>
      </w:r>
    </w:p>
    <w:p>
      <w:pPr>
        <w:spacing w:before="0" w:after="140" w:line="290"/>
        <w:jc w:val="left"/>
      </w:pPr>
      <w:r>
        <w:rPr>
          <w:rFonts w:ascii="Arial" w:cs="Arial" w:eastAsia="Arial" w:hAnsi="Arial"/>
          <w:b w:val="false"/>
          <w:bCs w:val="false"/>
          <w:i w:val="false"/>
          <w:iCs w:val="false"/>
          <w:color w:val="0E1A2E"/>
          <w:sz w:val="22"/>
          <w:szCs w:val="22"/>
        </w:rPr>
        <w:t xml:space="preserve">The Transparency Report is published on the FORA platform and is itself subject to community discourse and amendment through the standard deliberation process.</w:t>
      </w:r>
    </w:p>
    <w:p>
      <w:pPr>
        <w:spacing w:before="0" w:after="80"/>
      </w:pPr>
      <w:r>
        <w:rPr>
          <w:rFonts w:ascii="Arial" w:cs="Arial" w:eastAsia="Arial" w:hAnsi="Arial"/>
          <w:sz w:val="22"/>
          <w:szCs w:val="22"/>
        </w:rPr>
        <w:t xml:space="preserve"/>
      </w:r>
    </w:p>
    <w:p>
      <w:pPr>
        <w:pBdr>
          <w:bottom w:val="single" w:color="1B3A6B" w:sz="6" w:space="1"/>
        </w:pBdr>
        <w:spacing w:before="120" w:after="120"/>
      </w:pPr>
      <w:r>
        <w:rPr>
          <w:rFonts w:ascii="Arial" w:cs="Arial" w:eastAsia="Arial" w:hAnsi="Arial"/>
          <w:sz w:val="4"/>
          <w:szCs w:val="4"/>
        </w:rPr>
        <w:t xml:space="preserve"/>
      </w:r>
    </w:p>
    <w:p>
      <w:pPr>
        <w:pBdr>
          <w:top w:val="none" w:color="FFFFFF" w:sz="0"/>
          <w:left w:val="single" w:color="1B3A6B" w:sz="16" w:space="8"/>
          <w:bottom w:val="none" w:color="FFFFFF" w:sz="0"/>
          <w:right w:val="none" w:color="FFFFFF" w:sz="0"/>
        </w:pBdr>
        <w:spacing w:before="320" w:after="160"/>
        <w:ind w:left="200"/>
      </w:pPr>
      <w:r>
        <w:rPr>
          <w:rFonts w:ascii="Arial" w:cs="Arial" w:eastAsia="Arial" w:hAnsi="Arial"/>
          <w:b/>
          <w:bCs/>
          <w:color w:val="1B3A6B"/>
          <w:sz w:val="28"/>
          <w:szCs w:val="28"/>
        </w:rPr>
        <w:t xml:space="preserve">9. Changes to This Policy</w:t>
      </w:r>
    </w:p>
    <w:p>
      <w:pPr>
        <w:spacing w:before="0" w:after="140" w:line="290"/>
        <w:jc w:val="left"/>
      </w:pPr>
      <w:r>
        <w:rPr>
          <w:rFonts w:ascii="Arial" w:cs="Arial" w:eastAsia="Arial" w:hAnsi="Arial"/>
          <w:b w:val="false"/>
          <w:bCs w:val="false"/>
          <w:i w:val="false"/>
          <w:iCs w:val="false"/>
          <w:color w:val="0E1A2E"/>
          <w:sz w:val="22"/>
          <w:szCs w:val="22"/>
        </w:rPr>
        <w:t xml:space="preserve">This policy may be updated. When it is:</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Changes are published in the Transparency Report with a plain-language explanation of what changed and why.</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Material changes are announced to all registered users via email.</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The amendment date and version number are updated on this document.</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Any registered FORA user may propose a change to this policy through the standard deliberation process. Proposals that receive community ratification (60% of eligible pool) are reviewed by the governing board, which retains the right to accept, reject, or modify the proposal.</w:t>
      </w:r>
    </w:p>
    <w:p>
      <w:pPr>
        <w:spacing w:before="0" w:after="80"/>
      </w:pPr>
      <w:r>
        <w:rPr>
          <w:rFonts w:ascii="Arial" w:cs="Arial" w:eastAsia="Arial" w:hAnsi="Arial"/>
          <w:sz w:val="22"/>
          <w:szCs w:val="22"/>
        </w:rPr>
        <w:t xml:space="preserve"/>
      </w:r>
    </w:p>
    <w:p>
      <w:pPr>
        <w:pBdr>
          <w:bottom w:val="single" w:color="1B3A6B" w:sz="6" w:space="1"/>
        </w:pBdr>
        <w:spacing w:before="120" w:after="120"/>
      </w:pPr>
      <w:r>
        <w:rPr>
          <w:rFonts w:ascii="Arial" w:cs="Arial" w:eastAsia="Arial" w:hAnsi="Arial"/>
          <w:sz w:val="4"/>
          <w:szCs w:val="4"/>
        </w:rPr>
        <w:t xml:space="preserve"/>
      </w:r>
    </w:p>
    <w:p>
      <w:pPr>
        <w:pBdr>
          <w:top w:val="none" w:color="FFFFFF" w:sz="0"/>
          <w:left w:val="single" w:color="1B3A6B" w:sz="16" w:space="8"/>
          <w:bottom w:val="none" w:color="FFFFFF" w:sz="0"/>
          <w:right w:val="none" w:color="FFFFFF" w:sz="0"/>
        </w:pBdr>
        <w:spacing w:before="320" w:after="160"/>
        <w:ind w:left="200"/>
      </w:pPr>
      <w:r>
        <w:rPr>
          <w:rFonts w:ascii="Arial" w:cs="Arial" w:eastAsia="Arial" w:hAnsi="Arial"/>
          <w:b/>
          <w:bCs/>
          <w:color w:val="1B3A6B"/>
          <w:sz w:val="28"/>
          <w:szCs w:val="28"/>
        </w:rPr>
        <w:t xml:space="preserve">10. Contact</w:t>
      </w:r>
    </w:p>
    <w:p>
      <w:pPr>
        <w:spacing w:before="0" w:after="140" w:line="290"/>
        <w:jc w:val="left"/>
      </w:pPr>
      <w:r>
        <w:rPr>
          <w:rFonts w:ascii="Arial" w:cs="Arial" w:eastAsia="Arial" w:hAnsi="Arial"/>
          <w:b w:val="false"/>
          <w:bCs w:val="false"/>
          <w:i w:val="false"/>
          <w:iCs w:val="false"/>
          <w:color w:val="0E1A2E"/>
          <w:sz w:val="22"/>
          <w:szCs w:val="22"/>
        </w:rPr>
        <w:t xml:space="preserve">Questions about this policy:</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Email: privacy@fora.gov [placeholder]</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To submit a data access or deletion request: settings → Privacy → My Data</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To report a policy violation: settings → Privacy → Report a Concern</w:t>
      </w:r>
    </w:p>
    <w:p>
      <w:pPr>
        <w:pStyle w:val="ListParagraph"/>
        <w:numPr>
          <w:ilvl w:val="0"/>
          <w:numId w:val="2"/>
        </w:numPr>
        <w:spacing w:before="0" w:after="80"/>
      </w:pPr>
      <w:r>
        <w:rPr>
          <w:rFonts w:ascii="Arial" w:cs="Arial" w:eastAsia="Arial" w:hAnsi="Arial"/>
          <w:b w:val="false"/>
          <w:bCs w:val="false"/>
          <w:i w:val="false"/>
          <w:iCs w:val="false"/>
          <w:color w:val="0E1A2E"/>
          <w:sz w:val="22"/>
          <w:szCs w:val="22"/>
        </w:rPr>
        <w:t xml:space="preserve">To submit a data partnership application: partnerships@fora.gov [placeholder]</w:t>
      </w:r>
    </w:p>
    <w:p>
      <w:pPr>
        <w:spacing w:before="0" w:after="80"/>
      </w:pPr>
      <w:r>
        <w:rPr>
          <w:rFonts w:ascii="Arial" w:cs="Arial" w:eastAsia="Arial" w:hAnsi="Arial"/>
          <w:sz w:val="22"/>
          <w:szCs w:val="22"/>
        </w:rPr>
        <w:t xml:space="preserve"/>
      </w:r>
    </w:p>
    <w:p>
      <w:pPr>
        <w:pBdr>
          <w:bottom w:val="single" w:color="1B3A6B" w:sz="6" w:space="1"/>
        </w:pBdr>
        <w:spacing w:before="120" w:after="120"/>
      </w:pPr>
      <w:r>
        <w:rPr>
          <w:rFonts w:ascii="Arial" w:cs="Arial" w:eastAsia="Arial" w:hAnsi="Arial"/>
          <w:sz w:val="4"/>
          <w:szCs w:val="4"/>
        </w:rPr>
        <w:t xml:space="preserve"/>
      </w:r>
    </w:p>
    <w:p>
      <w:pPr>
        <w:pBdr>
          <w:bottom w:val="single" w:color="B8860B" w:sz="3" w:space="1"/>
        </w:pBdr>
        <w:spacing w:before="80" w:after="80"/>
      </w:pPr>
      <w:r>
        <w:rPr>
          <w:rFonts w:ascii="Arial" w:cs="Arial" w:eastAsia="Arial" w:hAnsi="Arial"/>
          <w:sz w:val="4"/>
          <w:szCs w:val="4"/>
        </w:rPr>
        <w:t xml:space="preserve"/>
      </w:r>
    </w:p>
    <w:p>
      <w:pPr>
        <w:spacing w:before="240" w:after="80"/>
        <w:jc w:val="center"/>
      </w:pPr>
      <w:r>
        <w:rPr>
          <w:rFonts w:ascii="Arial" w:cs="Arial" w:eastAsia="Arial" w:hAnsi="Arial"/>
          <w:i/>
          <w:iCs/>
          <w:color w:val="5A6E8A"/>
          <w:sz w:val="18"/>
          <w:szCs w:val="18"/>
        </w:rPr>
        <w:t xml:space="preserve">FORA Civic Platform  ·  Privacy Policy v1.0  ·  Confidential Draft</w:t>
      </w:r>
    </w:p>
    <w:p>
      <w:pPr>
        <w:spacing w:before="0" w:after="80"/>
        <w:jc w:val="center"/>
      </w:pPr>
      <w:r>
        <w:rPr>
          <w:rFonts w:ascii="Arial" w:cs="Arial" w:eastAsia="Arial" w:hAnsi="Arial"/>
          <w:i/>
          <w:iCs/>
          <w:color w:val="5A6E8A"/>
          <w:sz w:val="18"/>
          <w:szCs w:val="18"/>
        </w:rPr>
        <w:t xml:space="preserve">This document was prepared for internal review. It is not yet a binding legal instrument and has not been reviewed by legal counsel. No portion of this document should be published or shared externally without review by qualified privacy counsel.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8" w:sz="4" w:space="4"/>
      </w:pBdr>
      <w:tabs>
        <w:tab w:val="right" w:pos="9026"/>
      </w:tabs>
      <w:spacing w:before="120" w:after="0"/>
    </w:pPr>
    <w:r>
      <w:rPr>
        <w:rFonts w:ascii="Arial" w:cs="Arial" w:eastAsia="Arial" w:hAnsi="Arial"/>
        <w:color w:val="5A6E8A"/>
        <w:sz w:val="16"/>
        <w:szCs w:val="16"/>
      </w:rPr>
      <w:t xml:space="preserve">FORA Civic Platform  –  Confidential Draft</w:t>
    </w:r>
    <w:r>
      <w:rPr>
        <w:rFonts w:ascii="Arial" w:cs="Arial" w:eastAsia="Arial" w:hAnsi="Arial"/>
        <w:color w:val="5A6E8A"/>
        <w:sz w:val="16"/>
        <w:szCs w:val="16"/>
      </w:rPr>
      <w:t xml:space="preserve">	Page </w:t>
    </w:r>
    <w:r>
      <w:rPr>
        <w:rFonts w:ascii="Arial" w:cs="Arial" w:eastAsia="Arial" w:hAnsi="Arial"/>
        <w:color w:val="5A6E8A"/>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tabs>
        <w:tab w:val="right" w:pos="9026"/>
      </w:tabs>
      <w:spacing w:before="0" w:after="120"/>
    </w:pPr>
    <w:r>
      <w:rPr>
        <w:rFonts w:ascii="Arial" w:cs="Arial" w:eastAsia="Arial" w:hAnsi="Arial"/>
        <w:b/>
        <w:bCs/>
        <w:color w:val="1B3A6B"/>
        <w:sz w:val="20"/>
        <w:szCs w:val="20"/>
      </w:rPr>
      <w:t xml:space="preserve">FORA</w:t>
    </w:r>
    <w:r>
      <w:rPr>
        <w:rFonts w:ascii="Arial" w:cs="Arial" w:eastAsia="Arial" w:hAnsi="Arial"/>
        <w:color w:val="5A6E8A"/>
        <w:sz w:val="20"/>
        <w:szCs w:val="20"/>
      </w:rPr>
      <w:t xml:space="preserve">  –  Privacy Policy</w:t>
    </w:r>
    <w:r>
      <w:rPr>
        <w:rFonts w:ascii="Arial" w:cs="Arial" w:eastAsia="Arial" w:hAnsi="Arial"/>
        <w:color w:val="5A6E8A"/>
        <w:sz w:val="18"/>
        <w:szCs w:val="18"/>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B8860B"/>
        <w:sz w:val="22"/>
        <w:szCs w:val="22"/>
      </w:rPr>
    </w:lvl>
    <w:lvl w:ilvl="1" w15:tentative="1">
      <w:start w:val="1"/>
      <w:numFmt w:val="bullet"/>
      <w:lvlText w:val="·"/>
      <w:lvlJc w:val="left"/>
      <w:pPr>
        <w:ind w:left="1000" w:hanging="280"/>
      </w:pPr>
      <w:rPr>
        <w:rFonts w:ascii="Arial" w:cs="Arial" w:eastAsia="Arial" w:hAnsi="Arial"/>
        <w:color w:val="5A6E8A"/>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3A6B"/>
      <w:sz w:val="32"/>
      <w:szCs w:val="32"/>
    </w:rPr>
  </w:style>
  <w:style w:type="paragraph" w:styleId="Heading2">
    <w:name w:val="Heading 2"/>
    <w:basedOn w:val="Normal"/>
    <w:next w:val="Normal"/>
    <w:qFormat/>
    <w:pPr>
      <w:spacing w:before="200" w:after="80"/>
      <w:outlineLvl w:val="1"/>
    </w:pPr>
    <w:rPr>
      <w:rFonts w:ascii="Arial" w:cs="Arial" w:eastAsia="Arial" w:hAnsi="Arial"/>
      <w:b/>
      <w:bCs/>
      <w:color w:val="2C3E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2026-03-16T23:23:53.525Z</dcterms:created>
  <dcterms:modified xsi:type="dcterms:W3CDTF">2026-03-16T23:23:53.525Z</dcterms:modified>
</cp:coreProperties>
</file>

<file path=docProps/custom.xml><?xml version="1.0" encoding="utf-8"?>
<Properties xmlns="http://schemas.openxmlformats.org/officeDocument/2006/custom-properties" xmlns:vt="http://schemas.openxmlformats.org/officeDocument/2006/docPropsVTypes"/>
</file>