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b/>
          <w:bCs/>
        </w:rPr>
        <w:t>MUTUAL NON-DISCLOSURE AGREEMENT</w:t>
      </w:r>
    </w:p>
    <w:p>
      <w:pPr>
        <w:pStyle w:val="Subtitle"/>
        <w:rPr/>
      </w:pPr>
      <w:r>
        <w:rPr/>
        <w:t>FORA — fora.center</w:t>
      </w:r>
    </w:p>
    <w:p>
      <w:pPr>
        <w:pStyle w:val="Normal"/>
        <w:spacing w:lineRule="exact" w:line="300" w:before="0" w:after="160"/>
        <w:jc w:val="both"/>
        <w:rPr/>
      </w:pPr>
      <w:r>
        <w:rPr/>
        <w:t xml:space="preserve">This Mutual Non-Disclosure Agreement (the </w:t>
      </w:r>
      <w:r>
        <w:rPr>
          <w:b/>
          <w:bCs/>
        </w:rPr>
        <w:t>“Agreement”</w:t>
      </w:r>
      <w:r>
        <w:rPr/>
        <w:t xml:space="preserve">) is entered into as of </w:t>
      </w:r>
      <w:r>
        <w:rPr>
          <w:b/>
          <w:bCs/>
        </w:rPr>
        <w:t>May 2</w:t>
      </w:r>
      <w:r>
        <w:rPr>
          <w:b/>
          <w:bCs/>
        </w:rPr>
        <w:t>, 20</w:t>
      </w:r>
      <w:r>
        <w:rPr>
          <w:b/>
          <w:bCs/>
        </w:rPr>
        <w:t>26</w:t>
      </w:r>
      <w:r>
        <w:rPr>
          <w:b/>
          <w:bCs/>
        </w:rPr>
        <w:t xml:space="preserve"> </w:t>
      </w:r>
      <w:r>
        <w:rPr/>
        <w:t xml:space="preserve">(the </w:t>
      </w:r>
      <w:r>
        <w:rPr>
          <w:b/>
          <w:bCs/>
        </w:rPr>
        <w:t>“Effective Date”</w:t>
      </w:r>
      <w:r>
        <w:rPr/>
        <w:t>) by and between:</w:t>
      </w:r>
    </w:p>
    <w:p>
      <w:pPr>
        <w:pStyle w:val="Normal"/>
        <w:spacing w:lineRule="exact" w:line="300" w:before="0" w:after="160"/>
        <w:jc w:val="both"/>
        <w:rPr/>
      </w:pPr>
      <w:r>
        <w:rPr>
          <w:b/>
          <w:bCs/>
        </w:rPr>
        <w:t xml:space="preserve">Noah </w:t>
      </w:r>
      <w:r>
        <w:rPr>
          <w:b/>
          <w:bCs/>
        </w:rPr>
        <w:t>Goldman</w:t>
      </w:r>
      <w:r>
        <w:rPr/>
        <w:t xml:space="preserve">, an individual operating the project known as </w:t>
      </w:r>
      <w:r>
        <w:rPr>
          <w:b/>
          <w:bCs/>
        </w:rPr>
        <w:t>FORA</w:t>
      </w:r>
      <w:r>
        <w:rPr/>
        <w:t xml:space="preserve"> (fora.center), with an address at </w:t>
      </w:r>
      <w:r>
        <w:rPr/>
        <w:t>6335 Stevenson Ave, Apt D, Alexandria, VA 22304</w:t>
      </w:r>
      <w:r>
        <w:rPr/>
        <w:t xml:space="preserve"> (the </w:t>
      </w:r>
      <w:r>
        <w:rPr>
          <w:b/>
          <w:bCs/>
        </w:rPr>
        <w:t>“Disclosing Party”</w:t>
      </w:r>
      <w:r>
        <w:rPr/>
        <w:t>), and</w:t>
      </w:r>
    </w:p>
    <w:p>
      <w:pPr>
        <w:pStyle w:val="Normal"/>
        <w:spacing w:lineRule="exact" w:line="300" w:before="0" w:after="160"/>
        <w:jc w:val="both"/>
        <w:rPr/>
      </w:pPr>
      <w:r>
        <w:rPr>
          <w:b/>
          <w:bCs/>
        </w:rPr>
        <w:t xml:space="preserve">Kasey </w:t>
      </w:r>
      <w:r>
        <w:rPr>
          <w:b/>
          <w:bCs/>
        </w:rPr>
        <w:t>Schram</w:t>
      </w:r>
      <w:r>
        <w:rPr/>
        <w:t xml:space="preserve"> an individual operating as </w:t>
      </w:r>
      <w:r>
        <w:rPr>
          <w:b/>
          <w:bCs/>
        </w:rPr>
        <w:t>Somewhere Media</w:t>
      </w:r>
      <w:r>
        <w:rPr/>
        <w:t xml:space="preserve"> (or successor entity), with an address at ________________________________ and email </w:t>
      </w:r>
      <w:r>
        <w:rPr>
          <w:b/>
          <w:bCs/>
        </w:rPr>
        <w:t>kasey@somewheremedia.com</w:t>
      </w:r>
      <w:r>
        <w:rPr/>
        <w:t xml:space="preserve"> (the </w:t>
      </w:r>
      <w:r>
        <w:rPr>
          <w:b/>
          <w:bCs/>
        </w:rPr>
        <w:t>“Receiving Party”</w:t>
      </w:r>
      <w:r>
        <w:rPr/>
        <w:t>).</w:t>
      </w:r>
    </w:p>
    <w:p>
      <w:pPr>
        <w:pStyle w:val="Normal"/>
        <w:spacing w:lineRule="exact" w:line="300" w:before="0" w:after="160"/>
        <w:jc w:val="both"/>
        <w:rPr/>
      </w:pPr>
      <w:r>
        <w:rPr/>
        <w:t>The Disclosing Party and the Receiving Party may each be referred to as a “Party” and collectively as the “Parties.”</w:t>
      </w:r>
    </w:p>
    <w:p>
      <w:pPr>
        <w:pStyle w:val="Normal"/>
        <w:spacing w:lineRule="exact" w:line="300" w:before="240" w:after="160"/>
        <w:jc w:val="both"/>
        <w:rPr/>
      </w:pPr>
      <w:r>
        <w:rPr>
          <w:b/>
          <w:bCs/>
        </w:rPr>
        <w:t xml:space="preserve">1. Purpose. </w:t>
      </w:r>
      <w:r>
        <w:rPr/>
        <w:t>The Parties wish to explore and engage in a business relationship in which the Receiving Party will perform software development and related services for the FORA platform (the “Purpose”). In connection with the Purpose, the Disclosing Party may share Confidential Information with the Receiving Party.</w:t>
      </w:r>
    </w:p>
    <w:p>
      <w:pPr>
        <w:pStyle w:val="Normal"/>
        <w:spacing w:lineRule="exact" w:line="300" w:before="240" w:after="160"/>
        <w:jc w:val="both"/>
        <w:rPr/>
      </w:pPr>
      <w:r>
        <w:rPr>
          <w:b/>
          <w:bCs/>
        </w:rPr>
        <w:t xml:space="preserve">2. Definition of Confidential Information. </w:t>
      </w:r>
      <w:r>
        <w:rPr/>
        <w:t>“Confidential Information” means any non-public information disclosed by the Disclosing Party to the Receiving Party, whether orally, in writing, electronically, or by inspection of tangible objects, that is designated as confidential or that a reasonable person would understand to be confidential given its nature and the circumstances of disclosure. Confidential Information includes, without limitation: source code, repository contents, database schemas, entity-relationship diagrams, design documents, mockups, wireframes, product roadmaps, business plans, financial information, donor and investor communications, grant applications, user data, third-party API keys and credentials, vendor relationships, mission and strategy documents, the FORA brand identity and visual system, and the contents of all session reference documents and project knowledge files.</w:t>
      </w:r>
    </w:p>
    <w:p>
      <w:pPr>
        <w:pStyle w:val="Normal"/>
        <w:spacing w:lineRule="exact" w:line="300" w:before="240" w:after="160"/>
        <w:jc w:val="both"/>
        <w:rPr/>
      </w:pPr>
      <w:r>
        <w:rPr>
          <w:b/>
          <w:bCs/>
        </w:rPr>
        <w:t xml:space="preserve">3. Exclusions. </w:t>
      </w:r>
      <w:r>
        <w:rPr/>
        <w:t>Confidential Information does not include information that: (a) was lawfully in the Receiving Party’s possession before disclosure by the Disclosing Party, with documentary evidence; (b) is or becomes publicly known through no fault or breach by the Receiving Party; (c) is lawfully obtained by the Receiving Party from a third party without restriction and without breach of any obligation; or (d) is independently developed by the Receiving Party without use of or reference to the Confidential Information, with documentary evidence.</w:t>
      </w:r>
    </w:p>
    <w:p>
      <w:pPr>
        <w:pStyle w:val="Normal"/>
        <w:spacing w:lineRule="exact" w:line="300" w:before="240" w:after="160"/>
        <w:jc w:val="both"/>
        <w:rPr/>
      </w:pPr>
      <w:r>
        <w:rPr>
          <w:b/>
          <w:bCs/>
        </w:rPr>
        <w:t xml:space="preserve">4. Obligations of Receiving Party. </w:t>
      </w:r>
      <w:r>
        <w:rPr/>
        <w:t>The Receiving Party shall: (a) hold all Confidential Information in strict confidence; (b) use the Confidential Information solely for the Purpose; (c) not disclose Confidential Information to any third party without the Disclosing Party’s prior written consent; (d) protect the Confidential Information using at least the same degree of care it uses to protect its own confidential information of like importance, and in no event less than reasonable care; (e) not copy, reproduce, reverse-engineer, or create derivative works of the Confidential Information except as strictly necessary for the Purpose; and (f) promptly notify the Disclosing Party of any actual or suspected unauthorized disclosure or use.</w:t>
      </w:r>
    </w:p>
    <w:p>
      <w:pPr>
        <w:pStyle w:val="Normal"/>
        <w:spacing w:lineRule="exact" w:line="300" w:before="240" w:after="160"/>
        <w:jc w:val="both"/>
        <w:rPr/>
      </w:pPr>
      <w:r>
        <w:rPr>
          <w:b/>
          <w:bCs/>
        </w:rPr>
        <w:t xml:space="preserve">5. No License. </w:t>
      </w:r>
      <w:r>
        <w:rPr/>
        <w:t>Nothing in this Agreement grants the Receiving Party any right, title, license, or interest in or to any Confidential Information, intellectual property, trademark, or work product of the Disclosing Party, except the limited right to use Confidential Information for the Purpose during the term of this Agreement.</w:t>
      </w:r>
    </w:p>
    <w:p>
      <w:pPr>
        <w:pStyle w:val="Normal"/>
        <w:spacing w:lineRule="exact" w:line="300" w:before="240" w:after="160"/>
        <w:jc w:val="both"/>
        <w:rPr/>
      </w:pPr>
      <w:r>
        <w:rPr>
          <w:b/>
          <w:bCs/>
        </w:rPr>
        <w:t xml:space="preserve">6. Return or Destruction. </w:t>
      </w:r>
      <w:r>
        <w:rPr/>
        <w:t>Upon the Disclosing Party’s written request, or upon termination of the Parties’ working relationship, the Receiving Party shall promptly return or, at the Disclosing Party’s option, destroy all Confidential Information in its possession or control, including all copies, extracts, and derivatives, and shall certify such return or destruction in writing.</w:t>
      </w:r>
    </w:p>
    <w:p>
      <w:pPr>
        <w:pStyle w:val="Normal"/>
        <w:spacing w:lineRule="exact" w:line="300" w:before="240" w:after="160"/>
        <w:jc w:val="both"/>
        <w:rPr/>
      </w:pPr>
      <w:r>
        <w:rPr>
          <w:b/>
          <w:bCs/>
        </w:rPr>
        <w:t xml:space="preserve">7. Term. </w:t>
      </w:r>
      <w:r>
        <w:rPr/>
        <w:t xml:space="preserve">This Agreement is effective as of the Effective Date and continues for a period of </w:t>
      </w:r>
      <w:r>
        <w:rPr>
          <w:b/>
          <w:bCs/>
        </w:rPr>
        <w:t>three (3) years</w:t>
      </w:r>
      <w:r>
        <w:rPr/>
        <w:t xml:space="preserve"> thereafter, except that obligations with respect to Confidential Information that constitutes a trade secret shall continue for so long as such information remains a trade secret under applicable law.</w:t>
      </w:r>
    </w:p>
    <w:p>
      <w:pPr>
        <w:pStyle w:val="Normal"/>
        <w:spacing w:lineRule="exact" w:line="300" w:before="240" w:after="160"/>
        <w:jc w:val="both"/>
        <w:rPr/>
      </w:pPr>
      <w:r>
        <w:rPr>
          <w:b/>
          <w:bCs/>
        </w:rPr>
        <w:t xml:space="preserve">8. No Solicitation. </w:t>
      </w:r>
      <w:r>
        <w:rPr/>
        <w:t xml:space="preserve">During the term of this Agreement and for a period of </w:t>
      </w:r>
      <w:r>
        <w:rPr>
          <w:b/>
          <w:bCs/>
        </w:rPr>
        <w:t>twelve (12) months</w:t>
      </w:r>
      <w:r>
        <w:rPr/>
        <w:t xml:space="preserve"> thereafter, the Receiving Party shall not, directly or indirectly, solicit for employment or engagement any employee, contractor, advisor, or partner of the Disclosing Party with whom the Receiving Party became acquainted as a result of the Purpose.</w:t>
      </w:r>
    </w:p>
    <w:p>
      <w:pPr>
        <w:pStyle w:val="Normal"/>
        <w:spacing w:lineRule="exact" w:line="300" w:before="240" w:after="160"/>
        <w:jc w:val="both"/>
        <w:rPr/>
      </w:pPr>
      <w:r>
        <w:rPr>
          <w:b/>
          <w:bCs/>
        </w:rPr>
        <w:t xml:space="preserve">9. No Reverse Engineering and No Competing Use. </w:t>
      </w:r>
      <w:r>
        <w:rPr/>
        <w:t>The Receiving Party shall not use any Confidential Information to develop, build, fund, advise, or assist in the development of any product, service, or platform that competes with FORA, including any civic engagement platform, civic technology product, or constituent-to-government communication tool.</w:t>
      </w:r>
    </w:p>
    <w:p>
      <w:pPr>
        <w:pStyle w:val="Normal"/>
        <w:spacing w:lineRule="exact" w:line="300" w:before="240" w:after="160"/>
        <w:jc w:val="both"/>
        <w:rPr/>
      </w:pPr>
      <w:r>
        <w:rPr>
          <w:b/>
          <w:bCs/>
        </w:rPr>
        <w:t xml:space="preserve">10. Remedies. </w:t>
      </w:r>
      <w:r>
        <w:rPr/>
        <w:t>The Receiving Party acknowledges that breach of this Agreement may cause irreparable harm for which monetary damages are inadequate, and the Disclosing Party shall be entitled to seek injunctive relief in addition to any other remedies available at law or in equity, without the requirement to post bond.</w:t>
      </w:r>
    </w:p>
    <w:p>
      <w:pPr>
        <w:pStyle w:val="Normal"/>
        <w:spacing w:lineRule="exact" w:line="300" w:before="240" w:after="160"/>
        <w:jc w:val="both"/>
        <w:rPr/>
      </w:pPr>
      <w:r>
        <w:rPr>
          <w:b/>
          <w:bCs/>
        </w:rPr>
        <w:t xml:space="preserve">11. No Warranty. </w:t>
      </w:r>
      <w:r>
        <w:rPr/>
        <w:t>All Confidential Information is provided “AS IS.” No representation or warranty is made as to its accuracy or completeness.</w:t>
      </w:r>
    </w:p>
    <w:p>
      <w:pPr>
        <w:pStyle w:val="Normal"/>
        <w:spacing w:lineRule="exact" w:line="300" w:before="240" w:after="160"/>
        <w:jc w:val="both"/>
        <w:rPr/>
      </w:pPr>
      <w:r>
        <w:rPr>
          <w:b/>
          <w:bCs/>
        </w:rPr>
        <w:t xml:space="preserve">12. Governing Law and Venue. </w:t>
      </w:r>
      <w:r>
        <w:rPr/>
        <w:t xml:space="preserve">This Agreement is governed by the laws of the </w:t>
      </w:r>
      <w:r>
        <w:rPr>
          <w:b/>
          <w:bCs/>
        </w:rPr>
        <w:t>Commonwealth of Pennsylvania</w:t>
      </w:r>
      <w:r>
        <w:rPr/>
        <w:t xml:space="preserve">, without regard to conflict-of-laws principles. Any dispute shall be resolved exclusively in the state or federal courts located in </w:t>
      </w:r>
      <w:r>
        <w:rPr>
          <w:b/>
          <w:bCs/>
        </w:rPr>
        <w:t>Philadelphia</w:t>
      </w:r>
      <w:r>
        <w:rPr>
          <w:b/>
          <w:bCs/>
        </w:rPr>
        <w:t xml:space="preserve"> County, </w:t>
      </w:r>
      <w:r>
        <w:rPr>
          <w:b/>
          <w:bCs/>
        </w:rPr>
        <w:t>Pennsylvania</w:t>
      </w:r>
      <w:r>
        <w:rPr/>
        <w:t>, and each Party consents to personal jurisdiction and venue therein.</w:t>
      </w:r>
    </w:p>
    <w:p>
      <w:pPr>
        <w:pStyle w:val="Normal"/>
        <w:spacing w:lineRule="exact" w:line="300" w:before="240" w:after="160"/>
        <w:jc w:val="both"/>
        <w:rPr/>
      </w:pPr>
      <w:r>
        <w:rPr>
          <w:b/>
          <w:bCs/>
        </w:rPr>
        <w:t xml:space="preserve">13. Entire Agreement. </w:t>
      </w:r>
      <w:r>
        <w:rPr/>
        <w:t>This Agreement is the entire agreement between the Parties regarding its subject matter and supersedes all prior or contemporaneous agreements, understandings, or representations, whether oral or written. It may be amended only by a writing signed by both Parties.</w:t>
      </w:r>
    </w:p>
    <w:p>
      <w:pPr>
        <w:pStyle w:val="Normal"/>
        <w:spacing w:lineRule="exact" w:line="300" w:before="240" w:after="160"/>
        <w:jc w:val="both"/>
        <w:rPr/>
      </w:pPr>
      <w:r>
        <w:rPr>
          <w:b/>
          <w:bCs/>
        </w:rPr>
        <w:t xml:space="preserve">14. Severability. </w:t>
      </w:r>
      <w:r>
        <w:rPr/>
        <w:t>If any provision is held invalid or unenforceable, the remaining provisions shall remain in full force and effect.</w:t>
      </w:r>
    </w:p>
    <w:p>
      <w:pPr>
        <w:pStyle w:val="Normal"/>
        <w:spacing w:lineRule="exact" w:line="300" w:before="240" w:after="160"/>
        <w:jc w:val="both"/>
        <w:rPr/>
      </w:pPr>
      <w:r>
        <w:rPr>
          <w:b/>
          <w:bCs/>
        </w:rPr>
        <w:t xml:space="preserve">15. Counterparts and Electronic Signatures. </w:t>
      </w:r>
      <w:r>
        <w:rPr/>
        <w:t>This Agreement may be executed in counterparts, including by electronic signature, each of which shall be an original and all of which together shall constitute one instrument.</w:t>
      </w:r>
    </w:p>
    <w:p>
      <w:pPr>
        <w:pStyle w:val="Normal"/>
        <w:spacing w:lineRule="exact" w:line="300" w:before="360" w:after="240"/>
        <w:jc w:val="both"/>
        <w:rPr/>
      </w:pPr>
      <w:r>
        <w:rPr>
          <w:b/>
          <w:bCs/>
        </w:rPr>
        <w:t>IN WITNESS WHEREOF</w:t>
      </w:r>
      <w:r>
        <w:rPr/>
        <w:t>, the Parties have executed this Agreement as of the Effective Date.</w:t>
      </w:r>
    </w:p>
    <w:p>
      <w:pPr>
        <w:pStyle w:val="Normal"/>
        <w:spacing w:before="240" w:after="120"/>
        <w:rPr/>
      </w:pPr>
      <w:r>
        <w:rPr>
          <w:b/>
          <w:bCs/>
        </w:rPr>
        <w:t>DISCLOSING PARTY</w:t>
      </w:r>
    </w:p>
    <w:p>
      <w:pPr>
        <w:pStyle w:val="Normal"/>
        <w:pBdr>
          <w:bottom w:val="single" w:sz="6" w:space="1" w:color="000000"/>
        </w:pBdr>
        <w:spacing w:before="240" w:after="0"/>
        <w:rPr/>
      </w:pPr>
      <w:r>
        <w:rPr/>
        <w:t xml:space="preserve"> </w:t>
      </w:r>
    </w:p>
    <w:p>
      <w:pPr>
        <w:pStyle w:val="Normal"/>
        <w:spacing w:before="60" w:after="60"/>
        <w:rPr/>
      </w:pPr>
      <w:r>
        <w:rPr>
          <w:sz w:val="20"/>
          <w:szCs w:val="20"/>
        </w:rPr>
        <w:t>Signature</w:t>
      </w:r>
    </w:p>
    <w:p>
      <w:pPr>
        <w:pStyle w:val="Normal"/>
        <w:spacing w:before="0" w:after="120"/>
        <w:rPr/>
      </w:pPr>
      <w:r>
        <w:rPr/>
        <w:t xml:space="preserve"> </w:t>
      </w:r>
    </w:p>
    <w:p>
      <w:pPr>
        <w:pStyle w:val="Normal"/>
        <w:spacing w:before="0" w:after="120"/>
        <w:jc w:val="both"/>
        <w:rPr/>
      </w:pPr>
      <w:r>
        <w:rPr>
          <w:b/>
          <w:bCs/>
        </w:rPr>
        <w:t xml:space="preserve">Name: </w:t>
      </w:r>
      <w:r>
        <w:rPr/>
        <w:t xml:space="preserve">Noah </w:t>
      </w:r>
      <w:r>
        <w:rPr/>
        <w:t>Goldman</w:t>
      </w:r>
    </w:p>
    <w:p>
      <w:pPr>
        <w:pStyle w:val="Normal"/>
        <w:spacing w:before="0" w:after="120"/>
        <w:jc w:val="both"/>
        <w:rPr/>
      </w:pPr>
      <w:r>
        <w:rPr>
          <w:b/>
          <w:bCs/>
        </w:rPr>
        <w:t xml:space="preserve">Title: </w:t>
      </w:r>
      <w:r>
        <w:rPr/>
        <w:t>Founder, FORA</w:t>
      </w:r>
    </w:p>
    <w:p>
      <w:pPr>
        <w:pStyle w:val="Normal"/>
        <w:spacing w:before="0" w:after="360"/>
        <w:jc w:val="both"/>
        <w:rPr/>
      </w:pPr>
      <w:r>
        <w:rPr>
          <w:b/>
          <w:bCs/>
        </w:rPr>
        <w:t>Date:</w:t>
      </w:r>
      <w:r>
        <w:rPr>
          <w:b w:val="false"/>
          <w:bCs w:val="false"/>
        </w:rPr>
        <w:t xml:space="preserve"> </w:t>
      </w:r>
      <w:r>
        <w:rPr>
          <w:b w:val="false"/>
          <w:bCs w:val="false"/>
        </w:rPr>
        <w:t>May 2, 2026</w:t>
      </w:r>
    </w:p>
    <w:p>
      <w:pPr>
        <w:pStyle w:val="Normal"/>
        <w:spacing w:before="240" w:after="120"/>
        <w:rPr/>
      </w:pPr>
      <w:r>
        <w:rPr>
          <w:b/>
          <w:bCs/>
        </w:rPr>
        <w:t>RECEIVING PARTY</w:t>
      </w:r>
    </w:p>
    <w:p>
      <w:pPr>
        <w:pStyle w:val="Normal"/>
        <w:pBdr>
          <w:bottom w:val="single" w:sz="6" w:space="1" w:color="000000"/>
        </w:pBdr>
        <w:spacing w:before="240" w:after="0"/>
        <w:rPr/>
      </w:pPr>
      <w:r>
        <w:rPr/>
        <w:t xml:space="preserve"> </w:t>
      </w:r>
    </w:p>
    <w:p>
      <w:pPr>
        <w:pStyle w:val="Normal"/>
        <w:spacing w:before="60" w:after="60"/>
        <w:rPr/>
      </w:pPr>
      <w:r>
        <w:rPr>
          <w:sz w:val="20"/>
          <w:szCs w:val="20"/>
        </w:rPr>
        <w:t>Signature</w:t>
      </w:r>
    </w:p>
    <w:p>
      <w:pPr>
        <w:pStyle w:val="Normal"/>
        <w:spacing w:before="0" w:after="120"/>
        <w:rPr/>
      </w:pPr>
      <w:r>
        <w:rPr/>
        <w:t xml:space="preserve"> </w:t>
      </w:r>
    </w:p>
    <w:p>
      <w:pPr>
        <w:pStyle w:val="Normal"/>
        <w:spacing w:before="0" w:after="120"/>
        <w:jc w:val="both"/>
        <w:rPr/>
      </w:pPr>
      <w:r>
        <w:rPr>
          <w:b/>
          <w:bCs/>
        </w:rPr>
        <w:t xml:space="preserve">Name: </w:t>
      </w:r>
      <w:r>
        <w:rPr/>
        <w:t xml:space="preserve">Kasey </w:t>
      </w:r>
      <w:r>
        <w:rPr/>
        <w:t>Schram</w:t>
      </w:r>
    </w:p>
    <w:p>
      <w:pPr>
        <w:pStyle w:val="Normal"/>
        <w:spacing w:before="0" w:after="120"/>
        <w:jc w:val="both"/>
        <w:rPr/>
      </w:pPr>
      <w:r>
        <w:rPr>
          <w:b/>
          <w:bCs/>
        </w:rPr>
        <w:t xml:space="preserve">Title: </w:t>
      </w:r>
      <w:r>
        <w:rPr/>
        <w:t>________________________________</w:t>
      </w:r>
    </w:p>
    <w:p>
      <w:pPr>
        <w:pStyle w:val="Normal"/>
        <w:spacing w:before="0" w:after="120"/>
        <w:jc w:val="both"/>
        <w:rPr/>
      </w:pPr>
      <w:r>
        <w:rPr>
          <w:b/>
          <w:bCs/>
        </w:rPr>
        <w:t xml:space="preserve">Date: </w:t>
      </w:r>
      <w:r>
        <w:rPr/>
        <w:t>________________________________</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spacing w:before="0" w:after="120"/>
      <w:jc w:val="center"/>
    </w:pPr>
    <w:rPr>
      <w:rFonts w:ascii="Arial" w:hAnsi="Arial" w:eastAsia="Arial" w:cs="Arial"/>
      <w:b/>
      <w:bCs/>
      <w:sz w:val="32"/>
      <w:szCs w:val="32"/>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qFormat/>
    <w:pPr>
      <w:spacing w:before="0" w:after="360"/>
      <w:jc w:val="center"/>
    </w:pPr>
    <w:rPr>
      <w:rFonts w:ascii="Arial" w:hAnsi="Arial" w:eastAsia="Arial" w:cs="Arial"/>
      <w:color w:val="555555"/>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3</Pages>
  <Words>956</Words>
  <Characters>5679</Characters>
  <CharactersWithSpaces>6608</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2026-05-02T15:41:18Z</dcterms:created>
  <dc:creator>Noah</dc:creator>
  <dc:description>FORA — Mutual NDA</dc:description>
  <dc:language>en-US</dc:language>
  <cp:lastModifiedBy/>
  <dcterms:modified xsi:type="dcterms:W3CDTF">2026-05-02T11:47:50Z</dcterms:modified>
  <cp:revision>2</cp:revision>
  <dc:subject/>
  <dc:title>Mutual Non-Disclosure Agreement</dc:title>
</cp:coreProperties>
</file>