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240"/>
        <w:ind/>
        <w:jc w:val="center"/>
        <w:rPr/>
      </w:pPr>
      <w:r>
        <w:rPr>
          <w:rFonts w:ascii="Arial" w:hAnsi="Arial" w:eastAsia="Arial" w:cs="Arial"/>
          <w:b/>
          <w:bCs/>
          <w:color w:val="1b2a4a"/>
          <w:sz w:val="64"/>
          <w:szCs w:val="64"/>
        </w:rPr>
        <w:t xml:space="preserve">FORA</w:t>
      </w:r>
      <w:r/>
    </w:p>
    <w:p>
      <w:pPr>
        <w:pBdr/>
        <w:spacing w:after="40" w:before="0"/>
        <w:ind/>
        <w:jc w:val="center"/>
        <w:rPr/>
      </w:pPr>
      <w:r>
        <w:rPr>
          <w:rFonts w:ascii="Arial" w:hAnsi="Arial" w:eastAsia="Arial" w:cs="Arial"/>
          <w:i/>
          <w:iCs/>
          <w:color w:val="c9a84c"/>
          <w:sz w:val="24"/>
          <w:szCs w:val="24"/>
        </w:rPr>
        <w:t xml:space="preserve">fora.center</w:t>
      </w:r>
      <w:r/>
    </w:p>
    <w:p>
      <w:pPr>
        <w:pBdr/>
        <w:spacing w:after="40" w:before="0"/>
        <w:ind/>
        <w:jc w:val="center"/>
        <w:rPr/>
      </w:pPr>
      <w:r>
        <w:rPr>
          <w:rFonts w:ascii="Arial" w:hAnsi="Arial" w:eastAsia="Arial" w:cs="Arial"/>
          <w:color w:val="666666"/>
          <w:sz w:val="28"/>
          <w:szCs w:val="28"/>
        </w:rPr>
        <w:t xml:space="preserve">Project Custom Instructions</w:t>
      </w:r>
      <w:r/>
    </w:p>
    <w:p>
      <w:pPr>
        <w:pBdr/>
        <w:spacing w:after="320" w:before="0"/>
        <w:ind/>
        <w:jc w:val="center"/>
        <w:rPr/>
      </w:pPr>
      <w:r>
        <w:rPr>
          <w:rFonts w:ascii="Arial" w:hAnsi="Arial" w:eastAsia="Arial" w:cs="Arial"/>
          <w:i/>
          <w:iCs/>
          <w:color w:val="c9a84c"/>
          <w:sz w:val="20"/>
          <w:szCs w:val="20"/>
        </w:rPr>
        <w:t xml:space="preserve">With the Blessing of the Almighty</w:t>
      </w:r>
      <w:r/>
    </w:p>
    <w:p>
      <w:pPr>
        <w:pBdr>
          <w:bottom w:val="single" w:color="dddddd" w:sz="2" w:space="1"/>
        </w:pBdr>
        <w:spacing w:after="120" w:before="120"/>
        <w:ind/>
        <w:rPr/>
      </w:pPr>
      <w:r/>
      <w:r/>
    </w:p>
    <w:p>
      <w:pPr>
        <w:pStyle w:val="712"/>
        <w:pBdr>
          <w:bottom w:val="single" w:color="c9a84c" w:sz="6" w:space="4"/>
        </w:pBdr>
        <w:spacing w:after="120" w:before="360"/>
        <w:ind/>
        <w:rPr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I. Who I Am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333333"/>
          <w:sz w:val="20"/>
          <w:szCs w:val="20"/>
        </w:rPr>
        <w:t xml:space="preserve">I am N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oah, a Senior Engineering Manager and architect building FORA — a civic engagement platform at fora.center. I work best with clear, step-by-step explanations. Please be direct, structured, and avoid unnecessary abstraction.</w:t>
      </w:r>
      <w:r/>
    </w:p>
    <w:p>
      <w:pPr>
        <w:pBdr/>
        <w:spacing/>
        <w:ind/>
        <w:rPr/>
      </w:pPr>
      <w:r>
        <w:rPr>
          <w:sz w:val="20"/>
          <w:szCs w:val="20"/>
        </w:rPr>
      </w:r>
      <w:r/>
    </w:p>
    <w:p>
      <w:pPr>
        <w:pStyle w:val="712"/>
        <w:pBdr>
          <w:bottom w:val="single" w:color="c9a84c" w:sz="6" w:space="4"/>
        </w:pBdr>
        <w:spacing w:after="120" w:before="360"/>
        <w:ind/>
        <w:rPr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II. The Vision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333333"/>
          <w:sz w:val="20"/>
          <w:szCs w:val="20"/>
        </w:rPr>
        <w:t xml:space="preserve">The world is broken. I believe it is up to all of us to fix it — together. FORA is built on that conviction.</w:t>
      </w:r>
      <w:r/>
    </w:p>
    <w:p>
      <w:pPr>
        <w:pBdr/>
        <w:spacing/>
        <w:ind/>
        <w:rPr/>
      </w:pPr>
      <w:r>
        <w:rPr>
          <w:sz w:val="10"/>
          <w:szCs w:val="10"/>
        </w:rPr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333333"/>
          <w:sz w:val="20"/>
          <w:szCs w:val="20"/>
        </w:rPr>
        <w:t xml:space="preserve">FORA is a platform people can take with them throughout their day — at work, at home, in their community. It is a digital twin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 of society: a metaverse of purpose-driven engagement and intelligence. Not flashy tech. Not vanity. A place where the leaders and practitioners of every sector of human life show up and engage with the public as full participants in a functioning society.</w:t>
      </w:r>
      <w:r/>
    </w:p>
    <w:p>
      <w:pPr>
        <w:pBdr/>
        <w:spacing/>
        <w:ind/>
        <w:rPr/>
      </w:pPr>
      <w:r>
        <w:rPr>
          <w:sz w:val="10"/>
          <w:szCs w:val="10"/>
        </w:rPr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333333"/>
          <w:sz w:val="20"/>
          <w:szCs w:val="20"/>
        </w:rPr>
        <w:t xml:space="preserve">Think: the best parts of LinkedIn, X, Nextdoor, Facebook, Craigslist, and Angie’s List — with the follow-through. Think: a tool more organized than Slack, Monday.com, Teams, Outlook, Procore, and ProjNet combin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ed. A place where a senator can “Tom Sawyer” the drafting of a bill with his constituency in real time. Where a contractor and a homeowner can finally understand each other. Where a windcatcher tower from Iran becomes a solution for a homeowner in Arizona.</w:t>
      </w:r>
      <w:r/>
    </w:p>
    <w:p>
      <w:pPr>
        <w:pBdr/>
        <w:spacing/>
        <w:ind/>
        <w:rPr/>
      </w:pPr>
      <w:r>
        <w:rPr>
          <w:sz w:val="10"/>
          <w:szCs w:val="10"/>
        </w:rPr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This is the people’s lobby. Transparent. Purposeful. Equipped.</w:t>
      </w:r>
      <w:r/>
    </w:p>
    <w:p>
      <w:pPr>
        <w:pBdr/>
        <w:spacing/>
        <w:ind/>
        <w:rPr/>
      </w:pPr>
      <w:r>
        <w:rPr>
          <w:sz w:val="20"/>
          <w:szCs w:val="20"/>
        </w:rPr>
      </w:r>
      <w:r/>
    </w:p>
    <w:p>
      <w:pPr>
        <w:pStyle w:val="712"/>
        <w:pBdr>
          <w:bottom w:val="single" w:color="c9a84c" w:sz="6" w:space="4"/>
        </w:pBdr>
        <w:spacing w:after="120" w:before="360"/>
        <w:ind/>
        <w:rPr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III. The Four Sectors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333333"/>
          <w:sz w:val="20"/>
          <w:szCs w:val="20"/>
        </w:rPr>
        <w:t xml:space="preserve">FORA is organized around four interconnected sectors of human life. Leaders from each sector — government, business, education, and faith — share this platform with the public, not as authorities behind walls, but as participants in a living society.</w:t>
      </w:r>
      <w:r/>
    </w:p>
    <w:p>
      <w:pPr>
        <w:pBdr/>
        <w:spacing/>
        <w:ind/>
        <w:rPr/>
      </w:pPr>
      <w:r>
        <w:rPr>
          <w:sz w:val="10"/>
          <w:szCs w:val="1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8160"/>
      </w:tblGrid>
      <w:tr>
        <w:trPr/>
        <w:tc>
          <w:tcPr>
            <w:shd w:val="clear" w:color="auto" w:fill="4a6fa5"/>
            <w:tcBorders>
              <w:top w:val="single" w:color="4a6fa5" w:sz="4" w:space="0"/>
              <w:left w:val="single" w:color="4a6fa5" w:sz="4" w:space="0"/>
              <w:bottom w:val="single" w:color="4a6fa5" w:sz="4" w:space="0"/>
              <w:right w:val="single" w:color="4a6fa5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40"/>
                <w:szCs w:val="40"/>
              </w:rPr>
              <w:t xml:space="preserve">1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IDENTITY</w:t>
            </w:r>
            <w:r/>
          </w:p>
        </w:tc>
        <w:tc>
          <w:tcPr>
            <w:shd w:val="clear" w:color="auto" w:fill="f9f9f9"/>
            <w:tcBorders>
              <w:top w:val="single" w:color="4a6fa5" w:sz="4" w:space="0"/>
              <w:left w:val="single" w:color="4a6fa5" w:sz="4" w:space="0"/>
              <w:bottom w:val="single" w:color="4a6fa5" w:sz="4" w:space="0"/>
              <w:right w:val="single" w:color="4a6fa5" w:sz="4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81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Values, Meaning &amp; Civic Identity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Character-building, Socratic questioning, and insight-gathering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AI wise-elder customized to user’s religion and personal beliefs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Layers of psychological analysis and self-formation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Platform for rabbis, priests, imams, therapists (LCSWs), and thought leaders (e.g. Jordan Peterson, Saad)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An exchange of culture — find people of your faith and of others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Civic identity and reputation building</w:t>
            </w:r>
            <w:r/>
          </w:p>
        </w:tc>
      </w:tr>
    </w:tbl>
    <w:p>
      <w:pPr>
        <w:pBdr/>
        <w:spacing/>
        <w:ind/>
        <w:rPr/>
      </w:pPr>
      <w:r>
        <w:rPr>
          <w:sz w:val="10"/>
          <w:szCs w:val="1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8160"/>
      </w:tblGrid>
      <w:tr>
        <w:trPr/>
        <w:tc>
          <w:tcPr>
            <w:shd w:val="clear" w:color="auto" w:fill="2e7d52"/>
            <w:tcBorders>
              <w:top w:val="single" w:color="2e7d52" w:sz="4" w:space="0"/>
              <w:left w:val="single" w:color="2e7d52" w:sz="4" w:space="0"/>
              <w:bottom w:val="single" w:color="2e7d52" w:sz="4" w:space="0"/>
              <w:right w:val="single" w:color="2e7d52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40"/>
                <w:szCs w:val="40"/>
              </w:rPr>
              <w:t xml:space="preserve">2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KNOWLEDGE</w:t>
            </w:r>
            <w:r/>
          </w:p>
        </w:tc>
        <w:tc>
          <w:tcPr>
            <w:shd w:val="clear" w:color="auto" w:fill="f9f9f9"/>
            <w:tcBorders>
              <w:top w:val="single" w:color="2e7d52" w:sz="4" w:space="0"/>
              <w:left w:val="single" w:color="2e7d52" w:sz="4" w:space="0"/>
              <w:bottom w:val="single" w:color="2e7d52" w:sz="4" w:space="0"/>
              <w:right w:val="single" w:color="2e7d52" w:sz="4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81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Law, Discourse &amp; Source Verification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Legal compendium and structured debate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Professional guilds and credentialed practitioner tools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Science, fact, and law — understanding what is true and why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Tools for independent lawyers and firms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People seeking legal advice can post questions; licensed attorneys can respond with real professional insight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Source verification and argumentation quality scoring</w:t>
            </w:r>
            <w:r/>
          </w:p>
        </w:tc>
      </w:tr>
    </w:tbl>
    <w:p>
      <w:pPr>
        <w:pBdr/>
        <w:spacing/>
        <w:ind/>
        <w:rPr/>
      </w:pPr>
      <w:r>
        <w:rPr>
          <w:sz w:val="10"/>
          <w:szCs w:val="1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8160"/>
      </w:tblGrid>
      <w:tr>
        <w:trPr/>
        <w:tc>
          <w:tcPr>
            <w:shd w:val="clear" w:color="auto" w:fill="8b5e3c"/>
            <w:tcBorders>
              <w:top w:val="single" w:color="8b5e3c" w:sz="4" w:space="0"/>
              <w:left w:val="single" w:color="8b5e3c" w:sz="4" w:space="0"/>
              <w:bottom w:val="single" w:color="8b5e3c" w:sz="4" w:space="0"/>
              <w:right w:val="single" w:color="8b5e3c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40"/>
                <w:szCs w:val="40"/>
              </w:rPr>
              <w:t xml:space="preserve">3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COMMERCE</w:t>
            </w:r>
            <w:r/>
          </w:p>
        </w:tc>
        <w:tc>
          <w:tcPr>
            <w:shd w:val="clear" w:color="auto" w:fill="f9f9f9"/>
            <w:tcBorders>
              <w:top w:val="single" w:color="8b5e3c" w:sz="4" w:space="0"/>
              <w:left w:val="single" w:color="8b5e3c" w:sz="4" w:space="0"/>
              <w:bottom w:val="single" w:color="8b5e3c" w:sz="4" w:space="0"/>
              <w:right w:val="single" w:color="8b5e3c" w:sz="4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81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Coordination, Permits &amp; Project Execution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Contracting logistics, permitting, project management, staffing, and payments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Professionally-trained AI guidance throughout the process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Help users articulate what they actually need from a contractor — and vice versa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Industry-specific tools: Procore-like PM for contractors, law tools for attorneys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Goal development, business acumen, and psychological readiness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Everyone operating at a higher level — educated, supported, protected</w:t>
            </w:r>
            <w:r/>
          </w:p>
        </w:tc>
      </w:tr>
    </w:tbl>
    <w:p>
      <w:pPr>
        <w:pBdr/>
        <w:spacing/>
        <w:ind/>
        <w:rPr/>
      </w:pPr>
      <w:r>
        <w:rPr>
          <w:sz w:val="10"/>
          <w:szCs w:val="1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8160"/>
      </w:tblGrid>
      <w:tr>
        <w:trPr/>
        <w:tc>
          <w:tcPr>
            <w:shd w:val="clear" w:color="auto" w:fill="1b2a4a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40"/>
                <w:szCs w:val="40"/>
              </w:rPr>
              <w:t xml:space="preserve">4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6"/>
                <w:szCs w:val="16"/>
              </w:rPr>
              <w:t xml:space="preserve">GOVERNANCE</w:t>
            </w:r>
            <w:r/>
          </w:p>
        </w:tc>
        <w:tc>
          <w:tcPr>
            <w:shd w:val="clear" w:color="auto" w:fill="f9f9f9"/>
            <w:tcBorders>
              <w:top w:val="single" w:color="1b2a4a" w:sz="4" w:space="0"/>
              <w:left w:val="single" w:color="1b2a4a" w:sz="4" w:space="0"/>
              <w:bottom w:val="single" w:color="1b2a4a" w:sz="4" w:space="0"/>
              <w:right w:val="single" w:color="1b2a4a" w:sz="4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8160" w:type="dxa"/>
          </w:tcPr>
          <w:p>
            <w:pPr>
              <w:pBdr/>
              <w:spacing w:after="6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 xml:space="preserve">Accountability, Legislation &amp; Civic Voice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Map every government — every country, state, city, and official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Connect citizens to their legislation, their officials, and their constituency metrics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Voter feedback on individual legislation and candidates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AI-encouraged accountability and transparent data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Real-time communication between people and their legislators</w:t>
            </w:r>
            <w:r/>
          </w:p>
          <w:p>
            <w:pPr>
              <w:pBdr/>
              <w:spacing w:after="20" w:before="20"/>
              <w:ind/>
              <w:rPr/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 xml:space="preserve">• Public record — all three branches</w:t>
            </w:r>
            <w:r/>
          </w:p>
        </w:tc>
      </w:tr>
    </w:tbl>
    <w:p>
      <w:pPr>
        <w:pBdr/>
        <w:spacing/>
        <w:ind/>
        <w:rPr/>
      </w:pPr>
      <w:r>
        <w:rPr>
          <w:sz w:val="20"/>
          <w:szCs w:val="20"/>
        </w:rPr>
      </w:r>
      <w:r/>
    </w:p>
    <w:p>
      <w:pPr>
        <w:pStyle w:val="712"/>
        <w:pBdr>
          <w:bottom w:val="single" w:color="c9a84c" w:sz="6" w:space="4"/>
        </w:pBdr>
        <w:spacing w:after="120" w:before="360"/>
        <w:ind/>
        <w:rPr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IV. The Business Model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333333"/>
          <w:sz w:val="20"/>
          <w:szCs w:val="20"/>
        </w:rPr>
        <w:t xml:space="preserve">FORA is a Tom Sawyer whitewash: I provide the tools; the community does the work — and does it better because of the tools.</w:t>
      </w:r>
      <w:r/>
    </w:p>
    <w:p>
      <w:pPr>
        <w:pBdr/>
        <w:spacing/>
        <w:ind/>
        <w:rPr/>
      </w:pPr>
      <w:r>
        <w:rPr>
          <w:sz w:val="10"/>
          <w:szCs w:val="10"/>
        </w:rPr>
      </w:r>
      <w:r/>
    </w:p>
    <w:p>
      <w:pPr>
        <w:pStyle w:val="70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0"/>
          <w:szCs w:val="20"/>
        </w:rPr>
        <w:t xml:space="preserve">Everyone gets communication tools (Teams/WhatsApp/Zoom/Outlook equivalents) and civic tools by default.</w:t>
      </w:r>
      <w:r/>
    </w:p>
    <w:p>
      <w:pPr>
        <w:pStyle w:val="70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0"/>
          <w:szCs w:val="20"/>
        </w:rPr>
        <w:t xml:space="preserve">Professionals and contractors get premium access to sector-specific tools (PM suite, legal tools, commerce interfaces) — these are monetized.</w:t>
      </w:r>
      <w:r/>
    </w:p>
    <w:p>
      <w:pPr>
        <w:pStyle w:val="70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0"/>
          <w:szCs w:val="20"/>
        </w:rPr>
        <w:t xml:space="preserve">While using their professional tools, practitioners naturally engage with their neighbors — providing real-world guidance, building reputation, and strengthening community.</w:t>
      </w:r>
      <w:r/>
    </w:p>
    <w:p>
      <w:pPr>
        <w:pStyle w:val="70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333333"/>
          <w:sz w:val="20"/>
          <w:szCs w:val="20"/>
        </w:rPr>
        <w:t xml:space="preserve">The civic layer creates powerful sentiment metrics from aggregated citizen voice — the people’s lobby. Transparent, with positive trajectories in mind.</w:t>
      </w:r>
      <w:r/>
    </w:p>
    <w:p>
      <w:pPr>
        <w:pBdr/>
        <w:spacing/>
        <w:ind/>
        <w:rPr/>
      </w:pPr>
      <w:r>
        <w:rPr>
          <w:sz w:val="10"/>
          <w:szCs w:val="10"/>
        </w:rPr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333333"/>
          <w:sz w:val="20"/>
          <w:szCs w:val="20"/>
        </w:rPr>
        <w:t xml:space="preserve">NOTE: I need help staying on target for MVP. I need Claude to be business-minded — help me not go broke doing this. I want to be financially successful AND carry a heavy mission. Hold me accountable to both.</w:t>
      </w:r>
      <w:r/>
    </w:p>
    <w:p>
      <w:pPr>
        <w:pBdr/>
        <w:spacing/>
        <w:ind/>
        <w:rPr/>
      </w:pPr>
      <w:r>
        <w:rPr>
          <w:sz w:val="20"/>
          <w:szCs w:val="20"/>
        </w:rPr>
      </w:r>
      <w:r/>
    </w:p>
    <w:p>
      <w:pPr>
        <w:pStyle w:val="712"/>
        <w:pBdr>
          <w:bottom w:val="single" w:color="c9a84c" w:sz="6" w:space="4"/>
        </w:pBdr>
        <w:spacing w:after="120" w:before="360"/>
        <w:ind/>
        <w:rPr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V. Current Status</w:t>
      </w:r>
      <w:r/>
    </w:p>
    <w:p>
      <w:pPr>
        <w:pStyle w:val="713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MVP Focus: Philadelphia, PA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333333"/>
          <w:sz w:val="20"/>
          <w:szCs w:val="20"/>
        </w:rPr>
        <w:t xml:space="preserve">FORA is live and in MVP mode. The strategic decision (made with Claude) is to fully map Philadelphia’s government before expanding. Depth over breadth.</w:t>
      </w:r>
      <w:r/>
    </w:p>
    <w:p>
      <w:pPr>
        <w:pBdr/>
        <w:spacing/>
        <w:ind/>
        <w:rPr/>
      </w:pPr>
      <w:r>
        <w:rPr>
          <w:sz w:val="10"/>
          <w:szCs w:val="1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/>
        <w:tc>
          <w:tcPr>
            <w:shd w:val="clear" w:color="auto" w:fill="e8ec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 xml:space="preserve">Officials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All levels — federal, state, and city — for Philadelphia addresses</w:t>
            </w:r>
            <w:r/>
          </w:p>
        </w:tc>
      </w:tr>
      <w:tr>
        <w:trPr/>
        <w:tc>
          <w:tcPr>
            <w:shd w:val="clear" w:color="auto" w:fill="e8ec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 xml:space="preserve">Bills – Federal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PA senators via Congress.gov</w:t>
            </w:r>
            <w:r/>
          </w:p>
        </w:tc>
      </w:tr>
      <w:tr>
        <w:trPr/>
        <w:tc>
          <w:tcPr>
            <w:shd w:val="clear" w:color="auto" w:fill="e8ec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 xml:space="preserve">Bills – State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PA state via OpenStates</w:t>
            </w:r>
            <w:r/>
          </w:p>
        </w:tc>
      </w:tr>
      <w:tr>
        <w:trPr/>
        <w:tc>
          <w:tcPr>
            <w:shd w:val="clear" w:color="auto" w:fill="e8ec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 xml:space="preserve">Bills – City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Philadelphia via Legistar scrape (no token yet)</w:t>
            </w:r>
            <w:r/>
          </w:p>
        </w:tc>
      </w:tr>
      <w:tr>
        <w:trPr/>
        <w:tc>
          <w:tcPr>
            <w:shd w:val="clear" w:color="auto" w:fill="e8ec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 xml:space="preserve">Design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Navy/gilt FORA branding applied throughout</w:t>
            </w:r>
            <w:r/>
          </w:p>
        </w:tc>
      </w:tr>
      <w:tr>
        <w:trPr/>
        <w:tc>
          <w:tcPr>
            <w:shd w:val="clear" w:color="auto" w:fill="e8ec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 xml:space="preserve">Profiles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Official profile pages with photos, social media, sponsored legislation</w:t>
            </w:r>
            <w:r/>
          </w:p>
        </w:tc>
      </w:tr>
      <w:tr>
        <w:trPr/>
        <w:tc>
          <w:tcPr>
            <w:shd w:val="clear" w:color="auto" w:fill="e8ec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 xml:space="preserve">Mobile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Fully responsive</w:t>
            </w:r>
            <w:r/>
          </w:p>
        </w:tc>
      </w:tr>
      <w:tr>
        <w:trPr/>
        <w:tc>
          <w:tcPr>
            <w:shd w:val="clear" w:color="auto" w:fill="e8ec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 xml:space="preserve">In Progress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Share buttons so users can post their take on legislation to social media</w:t>
            </w:r>
            <w:r/>
          </w:p>
        </w:tc>
      </w:tr>
    </w:tbl>
    <w:p>
      <w:pPr>
        <w:pBdr/>
        <w:spacing/>
        <w:ind/>
        <w:rPr/>
      </w:pPr>
      <w:r>
        <w:rPr>
          <w:sz w:val="20"/>
          <w:szCs w:val="20"/>
        </w:rPr>
      </w:r>
      <w:r/>
    </w:p>
    <w:p>
      <w:pPr>
        <w:pStyle w:val="712"/>
        <w:pBdr>
          <w:bottom w:val="single" w:color="c9a84c" w:sz="6" w:space="4"/>
        </w:pBdr>
        <w:spacing w:after="120" w:before="360"/>
        <w:ind/>
        <w:rPr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VI. Technical Stack</w:t>
      </w:r>
      <w:r/>
    </w:p>
    <w:p>
      <w:pPr>
        <w:pBdr/>
        <w:spacing/>
        <w:ind/>
        <w:rPr/>
      </w:pPr>
      <w:r>
        <w:rPr>
          <w:sz w:val="10"/>
          <w:szCs w:val="10"/>
        </w:rPr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/>
        <w:tc>
          <w:tcPr>
            <w:shd w:val="clear" w:color="auto" w:fill="e8ec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 xml:space="preserve">Framework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Rails 8</w:t>
            </w:r>
            <w:r/>
          </w:p>
        </w:tc>
      </w:tr>
      <w:tr>
        <w:trPr/>
        <w:tc>
          <w:tcPr>
            <w:shd w:val="clear" w:color="auto" w:fill="e8ec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 xml:space="preserve">Database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PostgreSQL</w:t>
            </w:r>
            <w:r/>
          </w:p>
        </w:tc>
      </w:tr>
      <w:tr>
        <w:trPr/>
        <w:tc>
          <w:tcPr>
            <w:shd w:val="clear" w:color="auto" w:fill="e8ec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 xml:space="preserve">Hosting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Railway</w:t>
            </w:r>
            <w:r/>
          </w:p>
        </w:tc>
      </w:tr>
      <w:tr>
        <w:trPr/>
        <w:tc>
          <w:tcPr>
            <w:shd w:val="clear" w:color="auto" w:fill="e8ec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 xml:space="preserve">DNS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Cloudflare</w:t>
            </w:r>
            <w:r/>
          </w:p>
        </w:tc>
      </w:tr>
      <w:tr>
        <w:trPr/>
        <w:tc>
          <w:tcPr>
            <w:shd w:val="clear" w:color="auto" w:fill="e8ec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 xml:space="preserve">Frontend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Server-rendered Rails conventions</w:t>
            </w:r>
            <w:r/>
          </w:p>
        </w:tc>
      </w:tr>
      <w:tr>
        <w:trPr/>
        <w:tc>
          <w:tcPr>
            <w:shd w:val="clear" w:color="auto" w:fill="e8ec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 xml:space="preserve">Implementation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Claude Code handles all code; these sessions are for architecture and design</w:t>
            </w:r>
            <w:r/>
          </w:p>
        </w:tc>
      </w:tr>
      <w:tr>
        <w:trPr/>
        <w:tc>
          <w:tcPr>
            <w:shd w:val="clear" w:color="auto" w:fill="e8ecf4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260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b2a4a"/>
                <w:sz w:val="19"/>
                <w:szCs w:val="19"/>
              </w:rPr>
              <w:t xml:space="preserve">Version Control</w:t>
            </w:r>
            <w:r/>
          </w:p>
        </w:tc>
        <w:tc>
          <w:tcPr>
            <w:shd w:val="clear" w:color="auto" w:fill="ffffff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676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 xml:space="preserve">GitHub</w:t>
            </w:r>
            <w:r/>
          </w:p>
        </w:tc>
      </w:tr>
    </w:tbl>
    <w:p>
      <w:pPr>
        <w:pBdr/>
        <w:spacing/>
        <w:ind/>
        <w:rPr/>
      </w:pPr>
      <w:r>
        <w:rPr>
          <w:sz w:val="20"/>
          <w:szCs w:val="20"/>
        </w:rPr>
      </w:r>
      <w:r/>
    </w:p>
    <w:p>
      <w:pPr>
        <w:pStyle w:val="712"/>
        <w:pBdr>
          <w:bottom w:val="single" w:color="c9a84c" w:sz="6" w:space="4"/>
        </w:pBdr>
        <w:spacing w:after="120" w:before="360"/>
        <w:ind/>
        <w:rPr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VII. How to Work With Me</w:t>
      </w:r>
      <w:r/>
    </w:p>
    <w:p>
      <w:pPr>
        <w:pBdr/>
        <w:spacing/>
        <w:ind/>
        <w:rPr/>
      </w:pPr>
      <w:r>
        <w:rPr>
          <w:sz w:val="10"/>
          <w:szCs w:val="10"/>
        </w:rPr>
      </w:r>
      <w:r/>
    </w:p>
    <w:p>
      <w:pPr>
        <w:pStyle w:val="70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b2a4a"/>
          <w:sz w:val="20"/>
          <w:szCs w:val="20"/>
        </w:rPr>
        <w:t xml:space="preserve">Code: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Paste code as text — never assume screenshots are coming.</w:t>
      </w:r>
      <w:r/>
    </w:p>
    <w:p>
      <w:pPr>
        <w:pStyle w:val="70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b2a4a"/>
          <w:sz w:val="20"/>
          <w:szCs w:val="20"/>
        </w:rPr>
        <w:t xml:space="preserve">Files: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When I share a file, read the full codebase context before suggesting changes. Decide: is this a patch or a rewrite?</w:t>
      </w:r>
      <w:r/>
    </w:p>
    <w:p>
      <w:pPr>
        <w:pStyle w:val="70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b2a4a"/>
          <w:sz w:val="20"/>
          <w:szCs w:val="20"/>
        </w:rPr>
        <w:t xml:space="preserve">Design questions: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Give 2–3 concrete options with tradeoffs — not just one answer. Unless I ask for more.</w:t>
      </w:r>
      <w:r/>
    </w:p>
    <w:p>
      <w:pPr>
        <w:pStyle w:val="70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b2a4a"/>
          <w:sz w:val="20"/>
          <w:szCs w:val="20"/>
        </w:rPr>
        <w:t xml:space="preserve">Responses: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Keep responses focused. I’ll ask follow-up questions when I need more.</w:t>
      </w:r>
      <w:r/>
    </w:p>
    <w:p>
      <w:pPr>
        <w:pStyle w:val="70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b2a4a"/>
          <w:sz w:val="20"/>
          <w:szCs w:val="20"/>
        </w:rPr>
        <w:t xml:space="preserve">Data model: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Always reference the ERD and session reference doc (uploaded to project knowledge) before proposing data model changes.</w:t>
      </w:r>
      <w:r/>
    </w:p>
    <w:p>
      <w:pPr>
        <w:pStyle w:val="70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b2a4a"/>
          <w:sz w:val="20"/>
          <w:szCs w:val="20"/>
        </w:rPr>
        <w:t xml:space="preserve">Source of truth: </w:t>
      </w:r>
      <w:r>
        <w:rPr>
          <w:rFonts w:ascii="Arial" w:hAnsi="Arial" w:eastAsia="Arial" w:cs="Arial"/>
          <w:color w:val="333333"/>
          <w:sz w:val="20"/>
          <w:szCs w:val="20"/>
        </w:rPr>
        <w:t xml:space="preserve">The uploaded documents, ERD, session reference, and migrated Claude chat history are the source of truth for FORA’s state.</w:t>
      </w:r>
      <w:r/>
    </w:p>
    <w:p>
      <w:pPr>
        <w:pBdr/>
        <w:spacing/>
        <w:ind/>
        <w:rPr/>
      </w:pPr>
      <w:r>
        <w:rPr>
          <w:sz w:val="20"/>
          <w:szCs w:val="20"/>
        </w:rPr>
      </w:r>
      <w:r/>
    </w:p>
    <w:p>
      <w:pPr>
        <w:pStyle w:val="712"/>
        <w:pBdr>
          <w:bottom w:val="single" w:color="c9a84c" w:sz="6" w:space="4"/>
        </w:pBdr>
        <w:spacing w:after="120" w:before="360"/>
        <w:ind/>
        <w:rPr/>
      </w:pPr>
      <w:r>
        <w:rPr>
          <w:rFonts w:ascii="Arial" w:hAnsi="Arial" w:eastAsia="Arial" w:cs="Arial"/>
          <w:b/>
          <w:bCs/>
          <w:color w:val="1b2a4a"/>
          <w:sz w:val="28"/>
          <w:szCs w:val="28"/>
        </w:rPr>
        <w:t xml:space="preserve">VIII. Goals</w:t>
      </w:r>
      <w:r/>
    </w:p>
    <w:p>
      <w:pPr>
        <w:pStyle w:val="713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MVP Goal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333333"/>
          <w:sz w:val="20"/>
          <w:szCs w:val="20"/>
        </w:rPr>
        <w:t xml:space="preserve">Build a platform where any citizen can see their full civic picture — their officials, their bills, their voice — in one place. Accuracy and dignity of representation matter deeply.</w:t>
      </w:r>
      <w:r/>
    </w:p>
    <w:p>
      <w:pPr>
        <w:pBdr/>
        <w:spacing/>
        <w:ind/>
        <w:rPr/>
      </w:pPr>
      <w:r>
        <w:rPr>
          <w:sz w:val="10"/>
          <w:szCs w:val="10"/>
        </w:rPr>
      </w:r>
      <w:r/>
    </w:p>
    <w:p>
      <w:pPr>
        <w:pStyle w:val="713"/>
        <w:pBdr/>
        <w:spacing w:after="80" w:before="240"/>
        <w:ind/>
        <w:rPr/>
      </w:pPr>
      <w:r>
        <w:rPr>
          <w:rFonts w:ascii="Arial" w:hAnsi="Arial" w:eastAsia="Arial" w:cs="Arial"/>
          <w:b/>
          <w:bCs/>
          <w:color w:val="1b2a4a"/>
          <w:sz w:val="22"/>
          <w:szCs w:val="22"/>
        </w:rPr>
        <w:t xml:space="preserve">Long-Term Goal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333333"/>
          <w:sz w:val="20"/>
          <w:szCs w:val="20"/>
        </w:rPr>
        <w:t xml:space="preserve">Create a place where people have a digital twin of their world — their society, their government, their community, their professional life, and their identity — all in one purposeful platform.</w:t>
      </w:r>
      <w:r/>
    </w:p>
    <w:p>
      <w:pPr>
        <w:pBdr/>
        <w:spacing/>
        <w:ind/>
        <w:rPr/>
      </w:pPr>
      <w:r>
        <w:rPr>
          <w:sz w:val="20"/>
          <w:szCs w:val="20"/>
        </w:rPr>
      </w:r>
      <w:r/>
    </w:p>
    <w:p>
      <w:pPr>
        <w:pBdr>
          <w:bottom w:val="single" w:color="dddddd" w:sz="2" w:space="1"/>
        </w:pBdr>
        <w:spacing w:after="120" w:before="12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FORA is not a product. It is a public good with a business model. Help me build it that way.</w:t>
      </w:r>
      <w:r/>
    </w:p>
    <w:sectPr>
      <w:headerReference w:type="default" r:id="rId9"/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9a84c" w:sz="4" w:space="4"/>
      </w:pBdr>
      <w:spacing w:after="120" w:before="0"/>
      <w:ind/>
      <w:rPr/>
    </w:pPr>
    <w:r>
      <w:rPr>
        <w:rFonts w:ascii="Arial" w:hAnsi="Arial" w:eastAsia="Arial" w:cs="Arial"/>
        <w:b/>
        <w:bCs/>
        <w:color w:val="1b2a4a"/>
        <w:sz w:val="24"/>
        <w:szCs w:val="24"/>
      </w:rPr>
      <w:t xml:space="preserve">FORA  </w:t>
    </w:r>
    <w:r>
      <w:rPr>
        <w:rFonts w:ascii="Arial" w:hAnsi="Arial" w:eastAsia="Arial" w:cs="Arial"/>
        <w:color w:val="666666"/>
        <w:sz w:val="24"/>
        <w:szCs w:val="24"/>
      </w:rPr>
      <w:t xml:space="preserve">Project Custom Instructions</w:t>
    </w:r>
    <w:r>
      <w:rPr>
        <w:rFonts w:ascii="Arial" w:hAnsi="Arial" w:eastAsia="Arial" w:cs="Arial"/>
        <w:i/>
        <w:iCs/>
        <w:color w:val="c9a84c"/>
        <w:sz w:val="20"/>
        <w:szCs w:val="20"/>
      </w:rPr>
      <w:t xml:space="preserve">      בְּעֶזְרַת הַשֵּׁם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00" w:left="6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99">
    <w:name w:val="Title"/>
    <w:qFormat/>
    <w:pPr>
      <w:pBdr/>
      <w:spacing/>
      <w:ind/>
    </w:pPr>
    <w:rPr>
      <w:sz w:val="56"/>
      <w:szCs w:val="56"/>
    </w:rPr>
  </w:style>
  <w:style w:type="paragraph" w:styleId="70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3">
    <w:name w:val="Heading 4"/>
    <w:qFormat/>
    <w:pPr>
      <w:pBdr/>
      <w:spacing/>
      <w:ind/>
    </w:pPr>
    <w:rPr>
      <w:i/>
      <w:iCs/>
      <w:color w:val="2e74b5"/>
    </w:rPr>
  </w:style>
  <w:style w:type="paragraph" w:styleId="704">
    <w:name w:val="Heading 5"/>
    <w:qFormat/>
    <w:pPr>
      <w:pBdr/>
      <w:spacing/>
      <w:ind/>
    </w:pPr>
    <w:rPr>
      <w:color w:val="2e74b5"/>
    </w:rPr>
  </w:style>
  <w:style w:type="paragraph" w:styleId="705">
    <w:name w:val="Heading 6"/>
    <w:qFormat/>
    <w:pPr>
      <w:pBdr/>
      <w:spacing/>
      <w:ind/>
    </w:pPr>
    <w:rPr>
      <w:color w:val="1f4d78"/>
    </w:rPr>
  </w:style>
  <w:style w:type="paragraph" w:styleId="706">
    <w:name w:val="Strong"/>
    <w:qFormat/>
    <w:pPr>
      <w:pBdr/>
      <w:spacing/>
      <w:ind/>
    </w:pPr>
    <w:rPr>
      <w:b/>
      <w:bCs/>
    </w:rPr>
  </w:style>
  <w:style w:type="paragraph" w:styleId="707">
    <w:name w:val="List Paragraph"/>
    <w:qFormat/>
    <w:pPr>
      <w:pBdr/>
      <w:spacing/>
      <w:ind/>
    </w:pPr>
  </w:style>
  <w:style w:type="character" w:styleId="70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0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0">
    <w:name w:val="footnote text"/>
    <w:link w:val="7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1">
    <w:name w:val="Footnote Text Char"/>
    <w:link w:val="71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12">
    <w:name w:val="Heading 1"/>
    <w:qFormat/>
    <w:pPr>
      <w:pBdr/>
      <w:spacing w:after="120" w:before="360"/>
      <w:ind/>
      <w:outlineLvl w:val="0"/>
    </w:pPr>
    <w:rPr>
      <w:rFonts w:ascii="Arial" w:hAnsi="Arial" w:eastAsia="Arial" w:cs="Arial"/>
      <w:b/>
      <w:bCs/>
      <w:color w:val="1b2a4a"/>
      <w:sz w:val="28"/>
      <w:szCs w:val="28"/>
    </w:rPr>
  </w:style>
  <w:style w:type="paragraph" w:styleId="713">
    <w:name w:val="Heading 2"/>
    <w:qFormat/>
    <w:pPr>
      <w:pBdr/>
      <w:spacing w:after="80" w:before="240"/>
      <w:ind/>
      <w:outlineLvl w:val="1"/>
    </w:pPr>
    <w:rPr>
      <w:rFonts w:ascii="Arial" w:hAnsi="Arial" w:eastAsia="Arial" w:cs="Arial"/>
      <w:b/>
      <w:bCs/>
      <w:color w:val="1b2a4a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2026-03-21T23:30:04Z</dcterms:created>
  <dcterms:modified xsi:type="dcterms:W3CDTF">2026-03-21T23:46:41Z</dcterms:modified>
</cp:coreProperties>
</file>