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INDEPENDENT CONTRACTOR AGREEMENT</w:t>
      </w:r>
    </w:p>
    <w:p>
      <w:pPr>
        <w:pStyle w:val="Subtitle"/>
      </w:pPr>
      <w:r>
        <w:t xml:space="preserve">with Intellectual Property Assignment, Confidentiality, and Restrictive Covenants</w:t>
      </w:r>
    </w:p>
    <w:p>
      <w:pPr>
        <w:spacing w:after="360" w:before="0"/>
        <w:jc w:val="center"/>
      </w:pPr>
      <w:r>
        <w:rPr>
          <w:i/>
          <w:iCs/>
          <w:color w:val="555555"/>
        </w:rPr>
        <w:t xml:space="preserve">FORA — fora.center</w:t>
      </w:r>
    </w:p>
    <w:p>
      <w:pPr>
        <w:pBdr>
          <w:top w:val="single" w:color="C99700" w:sz="8" w:space="4"/>
          <w:bottom w:val="single" w:color="C99700" w:sz="8" w:space="4"/>
        </w:pBdr>
        <w:shd w:fill="FFF4D6" w:val="clear"/>
        <w:spacing w:after="120" w:before="120" w:line="280"/>
        <w:ind w:left="120" w:right="120"/>
        <w:jc w:val="left"/>
      </w:pPr>
      <w:r>
        <w:rPr>
          <w:b/>
          <w:bCs/>
          <w:color w:val="8A6700"/>
          <w:sz w:val="20"/>
          <w:szCs w:val="20"/>
        </w:rPr>
        <w:t xml:space="preserve">⚠ LAWYER REVIEW: </w:t>
      </w:r>
      <w:r>
        <w:rPr>
          <w:color w:val="8A6700"/>
          <w:sz w:val="20"/>
          <w:szCs w:val="20"/>
        </w:rPr>
        <w:t xml:space="preserve">This agreement is a working draft prepared as a starting point for review by a Pennsylvania-licensed attorney before execution. Pennsylvania-specific clauses regarding worker classification (15 Pa.C.S. and IRS 20-factor test), restrictive covenants (Pennsylvania disfavors broad non-competes against contractors), and IP assignment (no Pennsylvania equivalent of California Labor Code § 2870 exists, but assignment scope should still be reviewed) require professional review.</w:t>
      </w:r>
    </w:p>
    <w:p>
      <w:pPr>
        <w:spacing w:after="160" w:line="300"/>
        <w:jc w:val="both"/>
      </w:pPr>
      <w:r>
        <w:t xml:space="preserve">This Independent Contractor Agreement (the </w:t>
      </w:r>
      <w:r>
        <w:rPr>
          <w:b/>
          <w:bCs/>
        </w:rPr>
        <w:t xml:space="preserve">“Agreement”</w:t>
      </w:r>
      <w:r>
        <w:t xml:space="preserve">) is entered into as of </w:t>
      </w:r>
      <w:r>
        <w:rPr>
          <w:b/>
          <w:bCs/>
        </w:rPr>
        <w:t xml:space="preserve">________________, 20___ </w:t>
      </w:r>
      <w:r>
        <w:t xml:space="preserve">(the </w:t>
      </w:r>
      <w:r>
        <w:rPr>
          <w:b/>
          <w:bCs/>
        </w:rPr>
        <w:t xml:space="preserve">“Effective Date”</w:t>
      </w:r>
      <w:r>
        <w:t xml:space="preserve">) by and between:</w:t>
      </w:r>
    </w:p>
    <w:p>
      <w:pPr>
        <w:spacing w:after="160" w:line="300"/>
        <w:jc w:val="both"/>
      </w:pPr>
      <w:r>
        <w:rPr>
          <w:b/>
          <w:bCs/>
        </w:rPr>
        <w:t xml:space="preserve">Noah ________________</w:t>
      </w:r>
      <w:r>
        <w:t xml:space="preserve">, an individual operating the project known as </w:t>
      </w:r>
      <w:r>
        <w:rPr>
          <w:b/>
          <w:bCs/>
        </w:rPr>
        <w:t xml:space="preserve">FORA</w:t>
      </w:r>
      <w:r>
        <w:t xml:space="preserve"> (fora.center), with a principal address at ________________________________ (the </w:t>
      </w:r>
      <w:r>
        <w:rPr>
          <w:b/>
          <w:bCs/>
        </w:rPr>
        <w:t xml:space="preserve">“Company”</w:t>
      </w:r>
      <w:r>
        <w:t xml:space="preserve">), and</w:t>
      </w:r>
    </w:p>
    <w:p>
      <w:pPr>
        <w:spacing w:after="160" w:line="300"/>
        <w:jc w:val="both"/>
      </w:pPr>
      <w:r>
        <w:rPr>
          <w:b/>
          <w:bCs/>
        </w:rPr>
        <w:t xml:space="preserve">Kasey Schram</w:t>
      </w:r>
      <w:r>
        <w:t xml:space="preserve">, an individual operating as </w:t>
      </w:r>
      <w:r>
        <w:rPr>
          <w:b/>
          <w:bCs/>
        </w:rPr>
        <w:t xml:space="preserve">Somewhere Media</w:t>
      </w:r>
      <w:r>
        <w:t xml:space="preserve">, residing in the </w:t>
      </w:r>
      <w:r>
        <w:rPr>
          <w:b/>
          <w:bCs/>
        </w:rPr>
        <w:t xml:space="preserve">County of Philadelphia, Commonwealth of Pennsylvania</w:t>
      </w:r>
      <w:r>
        <w:t xml:space="preserve">, with a principal address at ________________________________ and email </w:t>
      </w:r>
      <w:r>
        <w:rPr>
          <w:b/>
          <w:bCs/>
        </w:rPr>
        <w:t xml:space="preserve">kasey@somewheremedia.com</w:t>
      </w:r>
      <w:r>
        <w:t xml:space="preserve"> (the </w:t>
      </w:r>
      <w:r>
        <w:rPr>
          <w:b/>
          <w:bCs/>
        </w:rPr>
        <w:t xml:space="preserve">“Contractor”</w:t>
      </w:r>
      <w:r>
        <w:t xml:space="preserve">).</w:t>
      </w:r>
    </w:p>
    <w:p>
      <w:pPr>
        <w:spacing w:after="160" w:line="300"/>
        <w:jc w:val="both"/>
      </w:pPr>
      <w:r>
        <w:t xml:space="preserve">The Company and the Contractor may each be referred to as a “Party” and collectively as the “Parties.”</w:t>
      </w:r>
    </w:p>
    <w:p>
      <w:pPr>
        <w:spacing w:after="120" w:before="360"/>
      </w:pPr>
      <w:r>
        <w:rPr>
          <w:b/>
          <w:bCs/>
          <w:caps/>
          <w:sz w:val="24"/>
          <w:szCs w:val="24"/>
        </w:rPr>
        <w:t xml:space="preserve">Recitals</w:t>
      </w:r>
    </w:p>
    <w:p>
      <w:pPr>
        <w:spacing w:after="160" w:line="300"/>
        <w:jc w:val="both"/>
      </w:pPr>
      <w:r>
        <w:t xml:space="preserve">WHEREAS, the Company is developing FORA, a civic engagement and infrastructure platform; and</w:t>
      </w:r>
    </w:p>
    <w:p>
      <w:pPr>
        <w:spacing w:after="160" w:line="300"/>
        <w:jc w:val="both"/>
      </w:pPr>
      <w:r>
        <w:t xml:space="preserve">WHEREAS, the Contractor possesses software development expertise and the Company wishes to engage the Contractor to perform certain services in connection with the FORA platform; and</w:t>
      </w:r>
    </w:p>
    <w:p>
      <w:pPr>
        <w:spacing w:after="160" w:line="300"/>
        <w:jc w:val="both"/>
      </w:pPr>
      <w:r>
        <w:t xml:space="preserve">WHEREAS, the Parties wish to establish in writing the terms governing such engagement, including the assignment of all work product and intellectual property to the Company;</w:t>
      </w:r>
    </w:p>
    <w:p>
      <w:pPr>
        <w:spacing w:after="160" w:line="300"/>
        <w:jc w:val="both"/>
      </w:pPr>
      <w:r>
        <w:t xml:space="preserve">NOW, THEREFORE, in consideration of the mutual covenants set forth herein and other good and valuable consideration, the receipt and sufficiency of which are acknowledged, the Parties agree as follows:</w:t>
      </w:r>
    </w:p>
    <w:p>
      <w:pPr>
        <w:spacing w:after="120" w:before="360"/>
      </w:pPr>
      <w:r>
        <w:rPr>
          <w:b/>
          <w:bCs/>
          <w:caps/>
          <w:sz w:val="24"/>
          <w:szCs w:val="24"/>
        </w:rPr>
        <w:t xml:space="preserve">Article 1 — Services</w:t>
      </w:r>
    </w:p>
    <w:p>
      <w:pPr>
        <w:spacing w:after="160" w:before="240" w:line="300"/>
        <w:jc w:val="both"/>
      </w:pPr>
      <w:r>
        <w:rPr>
          <w:b/>
          <w:bCs/>
        </w:rPr>
        <w:t xml:space="preserve">1.1. Engagement. </w:t>
      </w:r>
      <w:r>
        <w:t xml:space="preserve">The Company hereby engages the Contractor, and the Contractor hereby accepts engagement, to perform the services described in one or more written statements of work, scoping documents, or task assignments executed by the Parties from time to time (collectively, the “Services” and each, a “Statement of Work” or “SOW”).</w:t>
      </w:r>
    </w:p>
    <w:p>
      <w:pPr>
        <w:spacing w:after="160" w:before="240" w:line="300"/>
        <w:jc w:val="both"/>
      </w:pPr>
      <w:r>
        <w:rPr>
          <w:b/>
          <w:bCs/>
        </w:rPr>
        <w:t xml:space="preserve">1.2. Initial Scope. </w:t>
      </w:r>
      <w:r>
        <w:t xml:space="preserve">The initial Services shall include, without limitation: (a) a scoping audit of the FORA codebase, database schema, and live platform; (b) software development work related to the FORA Philadelphia MVP, including official profile pages, legislative bill ingestion, social sharing functionality, and mobile responsiveness; and (c) such additional work as the Parties may agree in writing. The specific deliverables, milestones, and fees for each scope of work shall be set forth in a separate SOW.</w:t>
      </w:r>
    </w:p>
    <w:p>
      <w:pPr>
        <w:spacing w:after="160" w:before="240" w:line="300"/>
        <w:jc w:val="both"/>
      </w:pPr>
      <w:r>
        <w:rPr>
          <w:b/>
          <w:bCs/>
        </w:rPr>
        <w:t xml:space="preserve">1.3. Performance Standard. </w:t>
      </w:r>
      <w:r>
        <w:t xml:space="preserve">The Contractor shall perform the Services in a professional and workmanlike manner, consistent with industry standards for senior software development, and shall use commercially reasonable efforts to meet all agreed deadlines and deliverables.</w:t>
      </w:r>
    </w:p>
    <w:p>
      <w:pPr>
        <w:spacing w:after="160" w:before="240" w:line="300"/>
        <w:jc w:val="both"/>
      </w:pPr>
      <w:r>
        <w:rPr>
          <w:b/>
          <w:bCs/>
        </w:rPr>
        <w:t xml:space="preserve">1.4. Means and Methods. </w:t>
      </w:r>
      <w:r>
        <w:t xml:space="preserve">The Contractor shall determine the means, methods, manner, and location of performing the Services, subject to the deliverables, deadlines, and quality standards set forth in each SOW. The Contractor shall provide the Contractor’s own equipment, tools, and software except for credentials and access expressly provided by the Company.</w:t>
      </w:r>
    </w:p>
    <w:p>
      <w:pPr>
        <w:spacing w:after="120" w:before="360"/>
      </w:pPr>
      <w:r>
        <w:rPr>
          <w:b/>
          <w:bCs/>
          <w:caps/>
          <w:sz w:val="24"/>
          <w:szCs w:val="24"/>
        </w:rPr>
        <w:t xml:space="preserve">Article 2 — Compensation and Expenses</w:t>
      </w:r>
    </w:p>
    <w:p>
      <w:pPr>
        <w:spacing w:after="160" w:before="240" w:line="300"/>
        <w:jc w:val="both"/>
      </w:pPr>
      <w:r>
        <w:rPr>
          <w:b/>
          <w:bCs/>
        </w:rPr>
        <w:t xml:space="preserve">2.1. Fees. </w:t>
      </w:r>
      <w:r>
        <w:t xml:space="preserve">The Company shall pay the Contractor the fees specified in each applicable SOW. Unless otherwise agreed in writing, fees shall be either (a) a fixed fee per milestone or deliverable, or (b) an hourly rate with a not-to-exceed cap per SOW.</w:t>
      </w:r>
    </w:p>
    <w:p>
      <w:pPr>
        <w:spacing w:after="160" w:before="240" w:line="300"/>
        <w:jc w:val="both"/>
      </w:pPr>
      <w:r>
        <w:rPr>
          <w:b/>
          <w:bCs/>
        </w:rPr>
        <w:t xml:space="preserve">2.2. Invoicing. </w:t>
      </w:r>
      <w:r>
        <w:t xml:space="preserve">The Contractor shall submit invoices to the Company on the cadence specified in the applicable SOW, or, absent specification, no more frequently than every two (2) weeks. Each invoice shall itemize Services performed, hours worked (if hourly), milestones completed, and any pre-approved expenses.</w:t>
      </w:r>
    </w:p>
    <w:p>
      <w:pPr>
        <w:spacing w:after="160" w:before="240" w:line="300"/>
        <w:jc w:val="both"/>
      </w:pPr>
      <w:r>
        <w:rPr>
          <w:b/>
          <w:bCs/>
        </w:rPr>
        <w:t xml:space="preserve">2.3. Payment Terms. </w:t>
      </w:r>
      <w:r>
        <w:t xml:space="preserve">The Company shall pay undisputed invoices within fifteen (15) calendar days of receipt. Disputed amounts shall be addressed in good faith between the Parties; undisputed portions of any invoice shall be paid on schedule.</w:t>
      </w:r>
    </w:p>
    <w:p>
      <w:pPr>
        <w:spacing w:after="160" w:before="240" w:line="300"/>
        <w:jc w:val="both"/>
      </w:pPr>
      <w:r>
        <w:rPr>
          <w:b/>
          <w:bCs/>
        </w:rPr>
        <w:t xml:space="preserve">2.4. Expenses. </w:t>
      </w:r>
      <w:r>
        <w:t xml:space="preserve">The Contractor shall be responsible for the Contractor’s own ordinary business expenses. The Company shall reimburse only those expenses that are pre-approved in writing.</w:t>
      </w:r>
    </w:p>
    <w:p>
      <w:pPr>
        <w:spacing w:after="160" w:before="240" w:line="300"/>
        <w:jc w:val="both"/>
      </w:pPr>
      <w:r>
        <w:rPr>
          <w:b/>
          <w:bCs/>
        </w:rPr>
        <w:t xml:space="preserve">2.5. Taxes. </w:t>
      </w:r>
      <w:r>
        <w:t xml:space="preserve">The Contractor is solely responsible for all federal, state, and local taxes arising from compensation under this Agreement, including self-employment tax. The Company shall issue an IRS Form 1099-NEC for compensation paid in any calendar year exceeding the applicable reporting threshold.</w:t>
      </w:r>
    </w:p>
    <w:p>
      <w:pPr>
        <w:spacing w:after="120" w:before="360"/>
      </w:pPr>
      <w:r>
        <w:rPr>
          <w:b/>
          <w:bCs/>
          <w:caps/>
          <w:sz w:val="24"/>
          <w:szCs w:val="24"/>
        </w:rPr>
        <w:t xml:space="preserve">Article 3 — Independent Contractor Status</w:t>
      </w:r>
    </w:p>
    <w:p>
      <w:pPr>
        <w:spacing w:after="160" w:before="240" w:line="300"/>
        <w:jc w:val="both"/>
      </w:pPr>
      <w:r>
        <w:rPr>
          <w:b/>
          <w:bCs/>
        </w:rPr>
        <w:t xml:space="preserve">3.1. Relationship of the Parties. </w:t>
      </w:r>
      <w:r>
        <w:t xml:space="preserve">The Contractor is an independent contractor and not an employee, agent, partner, or joint venturer of the Company. Nothing in this Agreement creates an employer-employee, partnership, agency, or fiduciary relationship between the Parties.</w:t>
      </w:r>
    </w:p>
    <w:p>
      <w:pPr>
        <w:spacing w:after="160" w:before="240" w:line="300"/>
        <w:jc w:val="both"/>
      </w:pPr>
      <w:r>
        <w:rPr>
          <w:b/>
          <w:bCs/>
        </w:rPr>
        <w:t xml:space="preserve">3.2. No Employee Benefits. </w:t>
      </w:r>
      <w:r>
        <w:t xml:space="preserve">The Contractor is not entitled to any benefits provided by the Company to its employees, including health insurance, retirement contributions, paid time off, workers’ compensation, unemployment insurance, or stock or equity-based compensation, except as expressly agreed in a separate written instrument.</w:t>
      </w:r>
    </w:p>
    <w:p>
      <w:pPr>
        <w:spacing w:after="160" w:before="240" w:line="300"/>
        <w:jc w:val="both"/>
      </w:pPr>
      <w:r>
        <w:rPr>
          <w:b/>
          <w:bCs/>
        </w:rPr>
        <w:t xml:space="preserve">3.3. No Authority to Bind. </w:t>
      </w:r>
      <w:r>
        <w:t xml:space="preserve">The Contractor has no authority to bind the Company to any contract, obligation, or representation. The Contractor shall not represent to any third party that the Contractor has such authority.</w:t>
      </w:r>
    </w:p>
    <w:p>
      <w:pPr>
        <w:pBdr>
          <w:top w:val="single" w:color="C99700" w:sz="8" w:space="4"/>
          <w:bottom w:val="single" w:color="C99700" w:sz="8" w:space="4"/>
        </w:pBdr>
        <w:shd w:fill="FFF4D6" w:val="clear"/>
        <w:spacing w:after="120" w:before="120" w:line="280"/>
        <w:ind w:left="120" w:right="120"/>
        <w:jc w:val="left"/>
      </w:pPr>
      <w:r>
        <w:rPr>
          <w:b/>
          <w:bCs/>
          <w:color w:val="8A6700"/>
          <w:sz w:val="20"/>
          <w:szCs w:val="20"/>
        </w:rPr>
        <w:t xml:space="preserve">⚠ LAWYER REVIEW: </w:t>
      </w:r>
      <w:r>
        <w:rPr>
          <w:color w:val="8A6700"/>
          <w:sz w:val="20"/>
          <w:szCs w:val="20"/>
        </w:rPr>
        <w:t xml:space="preserve">The IRS 20-factor test and the Pennsylvania Department of Labor classification rules govern whether a worker is properly classified as an independent contractor. Misclassification carries significant tax and penalty exposure. A lawyer should review the actual working arrangement (degree of control, exclusivity, duration, integration) against the form.</w:t>
      </w:r>
    </w:p>
    <w:p>
      <w:pPr>
        <w:spacing w:after="120" w:before="360"/>
      </w:pPr>
      <w:r>
        <w:rPr>
          <w:b/>
          <w:bCs/>
          <w:caps/>
          <w:sz w:val="24"/>
          <w:szCs w:val="24"/>
        </w:rPr>
        <w:t xml:space="preserve">Article 4 — Intellectual Property Assignment</w:t>
      </w:r>
    </w:p>
    <w:p>
      <w:pPr>
        <w:spacing w:after="160" w:before="240" w:line="300"/>
        <w:jc w:val="both"/>
      </w:pPr>
      <w:r>
        <w:rPr>
          <w:b/>
          <w:bCs/>
        </w:rPr>
        <w:t xml:space="preserve">4.1. Definitions. </w:t>
      </w:r>
      <w:r>
        <w:t xml:space="preserve">For purposes of this Agreement:</w:t>
      </w:r>
    </w:p>
    <w:p>
      <w:pPr>
        <w:spacing w:after="120" w:before="120" w:line="300"/>
        <w:ind w:left="360"/>
        <w:jc w:val="both"/>
      </w:pPr>
      <w:r>
        <w:rPr>
          <w:b/>
          <w:bCs/>
        </w:rPr>
        <w:t xml:space="preserve">(a) “Work Product” </w:t>
      </w:r>
      <w:r>
        <w:t xml:space="preserve">means all deliverables, source code, object code, scripts, configurations, schemas, data models, designs, mockups, wireframes, written materials, documentation, plans, drawings, specifications, technical and creative outputs, inventions, discoveries, ideas, methods, processes, improvements, and any other materials, in any form or medium, that are created, conceived, developed, written, or first reduced to practice by the Contractor, alone or with others, in the course of performing the Services or that arise from or relate to the Services or to the Company’s Confidential Information (defined below).</w:t>
      </w:r>
    </w:p>
    <w:p>
      <w:pPr>
        <w:spacing w:after="120" w:before="120" w:line="300"/>
        <w:ind w:left="360"/>
        <w:jc w:val="both"/>
      </w:pPr>
      <w:r>
        <w:rPr>
          <w:b/>
          <w:bCs/>
        </w:rPr>
        <w:t xml:space="preserve">(b) “Intellectual Property Rights” </w:t>
      </w:r>
      <w:r>
        <w:t xml:space="preserve">means all rights of any kind in any jurisdiction in or to: (i) patents and patent applications; (ii) copyrights, mask works, and database rights; (iii) trademarks, service marks, trade dress, trade names, logos, and brand identifiers; (iv) trade secrets and know-how; (v) moral rights; and (vi) any other proprietary rights now known or hereafter recognized.</w:t>
      </w:r>
    </w:p>
    <w:p>
      <w:pPr>
        <w:spacing w:after="160" w:before="240" w:line="300"/>
        <w:jc w:val="both"/>
      </w:pPr>
      <w:r>
        <w:rPr>
          <w:b/>
          <w:bCs/>
        </w:rPr>
        <w:t xml:space="preserve">4.2. Work Made for Hire. </w:t>
      </w:r>
      <w:r>
        <w:t xml:space="preserve">The Parties intend that all Work Product be considered “work made for hire” as that term is defined in Section 101 of the United States Copyright Act of 1976, as amended (17 U.S.C. § 101), to the maximum extent permitted by law, and that all Intellectual Property Rights therein vest in the Company upon creation.</w:t>
      </w:r>
    </w:p>
    <w:p>
      <w:pPr>
        <w:spacing w:after="160" w:before="240" w:line="300"/>
        <w:jc w:val="both"/>
      </w:pPr>
      <w:r>
        <w:rPr>
          <w:b/>
          <w:bCs/>
        </w:rPr>
        <w:t xml:space="preserve">4.3. Assignment. </w:t>
      </w:r>
      <w:r>
        <w:t xml:space="preserve">To the extent any Work Product or Intellectual Property Rights therein do not qualify as work made for hire, or to the extent that any rights do not automatically vest in the Company by operation of law, the Contractor hereby irrevocably and unconditionally assigns, transfers, and conveys to the Company, its successors, and assigns, all of the Contractor’s right, title, and interest in and to all such Work Product and Intellectual Property Rights, throughout the world and in perpetuity, free of any obligation of further compensation. This assignment includes the right to sue for and recover damages for past, present, and future infringement.</w:t>
      </w:r>
    </w:p>
    <w:p>
      <w:pPr>
        <w:spacing w:after="160" w:before="240" w:line="300"/>
        <w:jc w:val="both"/>
      </w:pPr>
      <w:r>
        <w:rPr>
          <w:b/>
          <w:bCs/>
        </w:rPr>
        <w:t xml:space="preserve">4.4. Moral Rights. </w:t>
      </w:r>
      <w:r>
        <w:t xml:space="preserve">The Contractor hereby waives, to the maximum extent permitted by law, any and all moral rights, rights of attribution, rights of integrity, and any analogous rights the Contractor may have in any Work Product, in favor of the Company, its successors, and assigns.</w:t>
      </w:r>
    </w:p>
    <w:p>
      <w:pPr>
        <w:spacing w:after="160" w:before="240" w:line="300"/>
        <w:jc w:val="both"/>
      </w:pPr>
      <w:r>
        <w:rPr>
          <w:b/>
          <w:bCs/>
        </w:rPr>
        <w:t xml:space="preserve">4.5. Further Assurances. </w:t>
      </w:r>
      <w:r>
        <w:t xml:space="preserve">The Contractor shall, at the Company’s reasonable request and expense, execute all documents and take all actions necessary or desirable to perfect, evidence, record, or enforce the Company’s ownership of the Work Product and Intellectual Property Rights, including the execution of patent, copyright, and trademark applications, assignments, and powers of attorney. The Contractor irrevocably appoints the Company and its duly authorized officers and agents as the Contractor’s attorney-in-fact, coupled with an interest, to execute and file any such documents on the Contractor’s behalf if the Contractor fails or refuses to do so within thirty (30) days of written request.</w:t>
      </w:r>
    </w:p>
    <w:p>
      <w:pPr>
        <w:spacing w:after="160" w:before="240" w:line="300"/>
        <w:jc w:val="both"/>
      </w:pPr>
      <w:r>
        <w:rPr>
          <w:b/>
          <w:bCs/>
        </w:rPr>
        <w:t xml:space="preserve">4.6. Pre-Existing Materials. </w:t>
      </w:r>
      <w:r>
        <w:t xml:space="preserve">The Contractor shall not incorporate any pre-existing software, code, materials, or other intellectual property owned by the Contractor or any third party (“Pre-Existing Materials”) into any Work Product without the Company’s prior written consent. If the Company consents to such incorporation, the Contractor hereby grants to the Company a perpetual, irrevocable, worldwide, royalty-free, non-exclusive, fully paid-up, sublicensable license to use, reproduce, modify, distribute, display, and otherwise exploit the Pre-Existing Materials as part of the Work Product.</w:t>
      </w:r>
    </w:p>
    <w:p>
      <w:pPr>
        <w:spacing w:after="160" w:before="240" w:line="300"/>
        <w:jc w:val="both"/>
      </w:pPr>
      <w:r>
        <w:rPr>
          <w:b/>
          <w:bCs/>
        </w:rPr>
        <w:t xml:space="preserve">4.7. Open-Source Software. </w:t>
      </w:r>
      <w:r>
        <w:t xml:space="preserve">The Contractor shall not incorporate any open-source software, library, or component into the Work Product without the Company’s prior written consent. The Contractor shall identify each item of open-source software incorporated, including its license type, and shall not include any open-source component subject to a license that would impose a copyleft, source-disclosure, or attribution-and-redistribution obligation on the Company’s proprietary code (including, without limitation, the GPL, AGPL, or similar) without the Company’s express prior written approval.</w:t>
      </w:r>
    </w:p>
    <w:p>
      <w:pPr>
        <w:spacing w:after="160" w:before="240" w:line="300"/>
        <w:jc w:val="both"/>
      </w:pPr>
      <w:r>
        <w:rPr>
          <w:b/>
          <w:bCs/>
        </w:rPr>
        <w:t xml:space="preserve">4.8. No Reservation. </w:t>
      </w:r>
      <w:r>
        <w:t xml:space="preserve">The Contractor reserves no rights in the Work Product. The Company shall be the sole and exclusive owner of all Work Product and Intellectual Property Rights therein.</w:t>
      </w:r>
    </w:p>
    <w:p>
      <w:pPr>
        <w:pBdr>
          <w:top w:val="single" w:color="C99700" w:sz="8" w:space="4"/>
          <w:bottom w:val="single" w:color="C99700" w:sz="8" w:space="4"/>
        </w:pBdr>
        <w:shd w:fill="FFF4D6" w:val="clear"/>
        <w:spacing w:after="120" w:before="120" w:line="280"/>
        <w:ind w:left="120" w:right="120"/>
        <w:jc w:val="left"/>
      </w:pPr>
      <w:r>
        <w:rPr>
          <w:b/>
          <w:bCs/>
          <w:color w:val="8A6700"/>
          <w:sz w:val="20"/>
          <w:szCs w:val="20"/>
        </w:rPr>
        <w:t xml:space="preserve">⚠ LAWYER REVIEW: </w:t>
      </w:r>
      <w:r>
        <w:rPr>
          <w:color w:val="8A6700"/>
          <w:sz w:val="20"/>
          <w:szCs w:val="20"/>
        </w:rPr>
        <w:t xml:space="preserve">Pennsylvania does not have an equivalent to California Labor Code § 2870 (which carves out personal-time inventions from automatic assignment), so Pennsylvania assignments can be drafted broadly. However, courts still scrutinize unreasonably broad assignments. A lawyer should confirm the scope here is enforceable and consider whether a personal-projects carve-out is desirable.</w:t>
      </w:r>
    </w:p>
    <w:p>
      <w:pPr>
        <w:spacing w:after="120" w:before="360"/>
      </w:pPr>
      <w:r>
        <w:rPr>
          <w:b/>
          <w:bCs/>
          <w:caps/>
          <w:sz w:val="24"/>
          <w:szCs w:val="24"/>
        </w:rPr>
        <w:t xml:space="preserve">Article 5 — Confidentiality</w:t>
      </w:r>
    </w:p>
    <w:p>
      <w:pPr>
        <w:spacing w:after="160" w:before="240" w:line="300"/>
        <w:jc w:val="both"/>
      </w:pPr>
      <w:r>
        <w:rPr>
          <w:b/>
          <w:bCs/>
        </w:rPr>
        <w:t xml:space="preserve">5.1. Confidential Information. </w:t>
      </w:r>
      <w:r>
        <w:t xml:space="preserve">“Confidential Information” means all non-public information disclosed by the Company to the Contractor, or otherwise accessed by the Contractor in connection with the Services, whether orally, in writing, electronically, or by inspection, including without limitation: source code, repository contents, database schemas, entity-relationship diagrams, design documents, mockups, wireframes, product roadmaps, business plans, financial information, donor and investor communications, grant applications, user data and personally identifiable information, third-party API keys and credentials, vendor relationships, mission and strategy documents, the FORA brand identity and visual system, and the contents of all session reference documents and project knowledge files.</w:t>
      </w:r>
    </w:p>
    <w:p>
      <w:pPr>
        <w:spacing w:after="160" w:before="240" w:line="300"/>
        <w:jc w:val="both"/>
      </w:pPr>
      <w:r>
        <w:rPr>
          <w:b/>
          <w:bCs/>
        </w:rPr>
        <w:t xml:space="preserve">5.2. Obligations. </w:t>
      </w:r>
      <w:r>
        <w:t xml:space="preserve">The Contractor shall: (a) hold all Confidential Information in strict confidence; (b) use Confidential Information solely to perform the Services; (c) not disclose Confidential Information to any third party without the Company’s prior written consent; (d) protect Confidential Information using at least the same degree of care the Contractor uses to protect the Contractor’s own confidential information of like importance, and in no event less than reasonable care; (e) not copy, reproduce, reverse-engineer, or create derivative works of Confidential Information except as strictly necessary to perform the Services; and (f) promptly notify the Company of any actual or suspected unauthorized disclosure or use.</w:t>
      </w:r>
    </w:p>
    <w:p>
      <w:pPr>
        <w:spacing w:after="160" w:before="240" w:line="300"/>
        <w:jc w:val="both"/>
      </w:pPr>
      <w:r>
        <w:rPr>
          <w:b/>
          <w:bCs/>
        </w:rPr>
        <w:t xml:space="preserve">5.3. Exclusions. </w:t>
      </w:r>
      <w:r>
        <w:t xml:space="preserve">Confidential Information does not include information that: (a) was lawfully in the Contractor’s possession before disclosure by the Company, with documentary evidence; (b) is or becomes publicly known through no fault or breach by the Contractor; (c) is lawfully obtained from a third party without restriction; or (d) is independently developed by the Contractor without use of or reference to Confidential Information, with documentary evidence.</w:t>
      </w:r>
    </w:p>
    <w:p>
      <w:pPr>
        <w:spacing w:after="160" w:before="240" w:line="300"/>
        <w:jc w:val="both"/>
      </w:pPr>
      <w:r>
        <w:rPr>
          <w:b/>
          <w:bCs/>
        </w:rPr>
        <w:t xml:space="preserve">5.4. Compelled Disclosure. </w:t>
      </w:r>
      <w:r>
        <w:t xml:space="preserve">If the Contractor is compelled by law or valid court or governmental order to disclose Confidential Information, the Contractor shall, to the extent legally permitted, provide the Company prompt written notice and reasonable cooperation to enable the Company to seek a protective order or other appropriate remedy.</w:t>
      </w:r>
    </w:p>
    <w:p>
      <w:pPr>
        <w:spacing w:after="160" w:before="240" w:line="300"/>
        <w:jc w:val="both"/>
      </w:pPr>
      <w:r>
        <w:rPr>
          <w:b/>
          <w:bCs/>
        </w:rPr>
        <w:t xml:space="preserve">5.5. User Data. </w:t>
      </w:r>
      <w:r>
        <w:t xml:space="preserve">User data, including any personally identifiable information of FORA users, is Confidential Information of the highest sensitivity. The Contractor shall not access, copy, export, or transmit user data except as strictly necessary to perform the Services, shall handle such data in accordance with the Company’s privacy commitments and applicable law, and shall not store user data on any device or system not approved by the Company.</w:t>
      </w:r>
    </w:p>
    <w:p>
      <w:pPr>
        <w:spacing w:after="160" w:before="240" w:line="300"/>
        <w:jc w:val="both"/>
      </w:pPr>
      <w:r>
        <w:rPr>
          <w:b/>
          <w:bCs/>
        </w:rPr>
        <w:t xml:space="preserve">5.6. Survival. </w:t>
      </w:r>
      <w:r>
        <w:t xml:space="preserve">The Contractor’s confidentiality obligations survive termination of this Agreement and continue for a period of five (5) years thereafter, except that obligations with respect to Confidential Information that constitutes a trade secret continue for so long as such information remains a trade secret under applicable law, and obligations with respect to user data continue indefinitely.</w:t>
      </w:r>
    </w:p>
    <w:p>
      <w:pPr>
        <w:spacing w:after="120" w:before="360"/>
      </w:pPr>
      <w:r>
        <w:rPr>
          <w:b/>
          <w:bCs/>
          <w:caps/>
          <w:sz w:val="24"/>
          <w:szCs w:val="24"/>
        </w:rPr>
        <w:t xml:space="preserve">Article 6 — Representations and Warranties</w:t>
      </w:r>
    </w:p>
    <w:p>
      <w:pPr>
        <w:spacing w:after="160" w:before="240" w:line="300"/>
        <w:jc w:val="both"/>
      </w:pPr>
      <w:r>
        <w:rPr>
          <w:b/>
          <w:bCs/>
        </w:rPr>
        <w:t xml:space="preserve">6.1. By the Contractor. </w:t>
      </w:r>
      <w:r>
        <w:t xml:space="preserve">The Contractor represents and warrants that: (a) the Contractor has the right and authority to enter into and perform this Agreement; (b) the Contractor’s performance does not and will not violate any agreement with any third party; (c) the Work Product, except for Pre-Existing Materials and approved open-source components, is original to the Contractor and does not and will not infringe the intellectual property or other rights of any third party; (d) the Contractor will perform the Services in compliance with all applicable laws; and (e) the Contractor has no employee, subcontractor, or other person performing any portion of the Services on the Contractor’s behalf without the Company’s prior written consent, and any approved subcontractor is bound to confidentiality and IP assignment obligations no less protective than those set forth in this Agreement.</w:t>
      </w:r>
    </w:p>
    <w:p>
      <w:pPr>
        <w:spacing w:after="160" w:before="240" w:line="300"/>
        <w:jc w:val="both"/>
      </w:pPr>
      <w:r>
        <w:rPr>
          <w:b/>
          <w:bCs/>
        </w:rPr>
        <w:t xml:space="preserve">6.2. Indemnification. </w:t>
      </w:r>
      <w:r>
        <w:t xml:space="preserve">The Contractor shall indemnify, defend, and hold harmless the Company and its officers, directors, employees, contractors, and agents from and against any third-party claim, demand, action, loss, damage, liability, cost, or expense (including reasonable attorneys’ fees) arising out of or relating to the Contractor’s breach of any representation, warranty, or covenant in this Agreement, including any claim that the Work Product infringes the intellectual property rights of any third party.</w:t>
      </w:r>
    </w:p>
    <w:p>
      <w:pPr>
        <w:spacing w:after="120" w:before="360"/>
      </w:pPr>
      <w:r>
        <w:rPr>
          <w:b/>
          <w:bCs/>
          <w:caps/>
          <w:sz w:val="24"/>
          <w:szCs w:val="24"/>
        </w:rPr>
        <w:t xml:space="preserve">Article 7 — Restrictive Covenants</w:t>
      </w:r>
    </w:p>
    <w:p>
      <w:pPr>
        <w:spacing w:after="160" w:before="240" w:line="300"/>
        <w:jc w:val="both"/>
      </w:pPr>
      <w:r>
        <w:rPr>
          <w:b/>
          <w:bCs/>
        </w:rPr>
        <w:t xml:space="preserve">7.1. Non-Competition. </w:t>
      </w:r>
      <w:r>
        <w:t xml:space="preserve">During the Term and for a period of twelve (12) months following termination of this Agreement, the Contractor shall not, directly or indirectly, design, develop, build, fund, advise, consult for, work for, or otherwise materially assist any product, service, business, or platform that competes with FORA, including any civic engagement platform, civic technology product, constituent-to-government communication platform, or platform for tracking, communicating with, or evaluating elected officials and legislation.</w:t>
      </w:r>
    </w:p>
    <w:p>
      <w:pPr>
        <w:spacing w:after="160" w:before="240" w:line="300"/>
        <w:jc w:val="both"/>
      </w:pPr>
      <w:r>
        <w:rPr>
          <w:b/>
          <w:bCs/>
        </w:rPr>
        <w:t xml:space="preserve">7.2. Non-Solicitation of Personnel. </w:t>
      </w:r>
      <w:r>
        <w:t xml:space="preserve">During the Term and for a period of twelve (12) months following termination, the Contractor shall not, directly or indirectly, solicit, recruit, hire, or attempt to hire any employee, contractor, advisor, or partner of the Company with whom the Contractor became acquainted as a result of the Services.</w:t>
      </w:r>
    </w:p>
    <w:p>
      <w:pPr>
        <w:spacing w:after="160" w:before="240" w:line="300"/>
        <w:jc w:val="both"/>
      </w:pPr>
      <w:r>
        <w:rPr>
          <w:b/>
          <w:bCs/>
        </w:rPr>
        <w:t xml:space="preserve">7.3. Non-Solicitation of Counterparties. </w:t>
      </w:r>
      <w:r>
        <w:t xml:space="preserve">During the Term and for a period of twelve (12) months following termination, the Contractor shall not, directly or indirectly, solicit or attempt to divert any donor, investor, governmental partner, civic organization partner, or vendor of the Company with whom the Contractor became acquainted through the Services.</w:t>
      </w:r>
    </w:p>
    <w:p>
      <w:pPr>
        <w:spacing w:after="160" w:before="240" w:line="300"/>
        <w:jc w:val="both"/>
      </w:pPr>
      <w:r>
        <w:rPr>
          <w:b/>
          <w:bCs/>
        </w:rPr>
        <w:t xml:space="preserve">7.4. Reasonableness; Reformation. </w:t>
      </w:r>
      <w:r>
        <w:t xml:space="preserve">The Contractor acknowledges that the restrictions in this Article 7 are reasonable in scope, geography, and duration, and are necessary to protect the Company’s legitimate business interests, including its Confidential Information and goodwill. If a court of competent jurisdiction holds any restriction unenforceable as written, such restriction shall be reformed to the maximum scope, geography, and duration enforceable under applicable law, and shall be enforced as reformed.</w:t>
      </w:r>
    </w:p>
    <w:p>
      <w:pPr>
        <w:pBdr>
          <w:top w:val="single" w:color="C99700" w:sz="8" w:space="4"/>
          <w:bottom w:val="single" w:color="C99700" w:sz="8" w:space="4"/>
        </w:pBdr>
        <w:shd w:fill="FFF4D6" w:val="clear"/>
        <w:spacing w:after="120" w:before="120" w:line="280"/>
        <w:ind w:left="120" w:right="120"/>
        <w:jc w:val="left"/>
      </w:pPr>
      <w:r>
        <w:rPr>
          <w:b/>
          <w:bCs/>
          <w:color w:val="8A6700"/>
          <w:sz w:val="20"/>
          <w:szCs w:val="20"/>
        </w:rPr>
        <w:t xml:space="preserve">⚠ LAWYER REVIEW: </w:t>
      </w:r>
      <w:r>
        <w:rPr>
          <w:color w:val="8A6700"/>
          <w:sz w:val="20"/>
          <w:szCs w:val="20"/>
        </w:rPr>
        <w:t xml:space="preserve">Pennsylvania courts evaluate non-competes under a reasonableness test (Hess v. Gebhard, 808 A.2d 912) and have been historically reluctant to enforce broad non-competes against independent contractors absent a legitimate, narrowly tailored business interest. The 12-month/civic-tech-only scope above is intentionally narrow but should be reviewed by counsel. Consideration paid for the covenant (a separate payment beyond the contract fees) materially strengthens enforceability.</w:t>
      </w:r>
    </w:p>
    <w:p>
      <w:pPr>
        <w:spacing w:after="120" w:before="360"/>
      </w:pPr>
      <w:r>
        <w:rPr>
          <w:b/>
          <w:bCs/>
          <w:caps/>
          <w:sz w:val="24"/>
          <w:szCs w:val="24"/>
        </w:rPr>
        <w:t xml:space="preserve">Article 8 — Term and Termination</w:t>
      </w:r>
    </w:p>
    <w:p>
      <w:pPr>
        <w:spacing w:after="160" w:before="240" w:line="300"/>
        <w:jc w:val="both"/>
      </w:pPr>
      <w:r>
        <w:rPr>
          <w:b/>
          <w:bCs/>
        </w:rPr>
        <w:t xml:space="preserve">8.1. Term. </w:t>
      </w:r>
      <w:r>
        <w:t xml:space="preserve">This Agreement commences on the Effective Date and continues until terminated as provided herein (the “Term”).</w:t>
      </w:r>
    </w:p>
    <w:p>
      <w:pPr>
        <w:spacing w:after="160" w:before="240" w:line="300"/>
        <w:jc w:val="both"/>
      </w:pPr>
      <w:r>
        <w:rPr>
          <w:b/>
          <w:bCs/>
        </w:rPr>
        <w:t xml:space="preserve">8.2. Termination for Convenience. </w:t>
      </w:r>
      <w:r>
        <w:t xml:space="preserve">Either Party may terminate this Agreement at any time and for any reason upon fourteen (14) days’ prior written notice to the other Party.</w:t>
      </w:r>
    </w:p>
    <w:p>
      <w:pPr>
        <w:spacing w:after="160" w:before="240" w:line="300"/>
        <w:jc w:val="both"/>
      </w:pPr>
      <w:r>
        <w:rPr>
          <w:b/>
          <w:bCs/>
        </w:rPr>
        <w:t xml:space="preserve">8.3. Termination for Cause. </w:t>
      </w:r>
      <w:r>
        <w:t xml:space="preserve">Either Party may terminate this Agreement immediately upon written notice if the other Party materially breaches this Agreement and fails to cure such breach within ten (10) days of written notice describing the breach in reasonable detail. The Company may terminate immediately and without cure opportunity for any breach by the Contractor of Article 4 (IP Assignment), Article 5 (Confidentiality), or Article 7 (Restrictive Covenants).</w:t>
      </w:r>
    </w:p>
    <w:p>
      <w:pPr>
        <w:spacing w:after="160" w:before="240" w:line="300"/>
        <w:jc w:val="both"/>
      </w:pPr>
      <w:r>
        <w:rPr>
          <w:b/>
          <w:bCs/>
        </w:rPr>
        <w:t xml:space="preserve">8.4. Effect of Termination. </w:t>
      </w:r>
      <w:r>
        <w:t xml:space="preserve">Upon termination: (a) the Contractor shall promptly deliver to the Company all Work Product (including all source code in then-current state, whether complete or in progress) and all Confidential Information in the Contractor’s possession or control; (b) the Contractor shall cease all use of Confidential Information; (c) the Company shall pay the Contractor all undisputed amounts owed for Services performed and accepted prior to termination; and (d) the Parties shall continue to be bound by all provisions that by their nature survive termination, including Articles 4, 5, 6.2, 7, 9, and 10.</w:t>
      </w:r>
    </w:p>
    <w:p>
      <w:pPr>
        <w:spacing w:after="120" w:before="360"/>
      </w:pPr>
      <w:r>
        <w:rPr>
          <w:b/>
          <w:bCs/>
          <w:caps/>
          <w:sz w:val="24"/>
          <w:szCs w:val="24"/>
        </w:rPr>
        <w:t xml:space="preserve">Article 9 — General Provisions</w:t>
      </w:r>
    </w:p>
    <w:p>
      <w:pPr>
        <w:spacing w:after="160" w:before="240" w:line="300"/>
        <w:jc w:val="both"/>
      </w:pPr>
      <w:r>
        <w:rPr>
          <w:b/>
          <w:bCs/>
        </w:rPr>
        <w:t xml:space="preserve">9.1. Governing Law. </w:t>
      </w:r>
      <w:r>
        <w:t xml:space="preserve">This Agreement is governed by and construed in accordance with the laws of the Commonwealth of Pennsylvania, without regard to its conflict-of-laws principles.</w:t>
      </w:r>
    </w:p>
    <w:p>
      <w:pPr>
        <w:spacing w:after="160" w:before="240" w:line="300"/>
        <w:jc w:val="both"/>
      </w:pPr>
      <w:r>
        <w:rPr>
          <w:b/>
          <w:bCs/>
        </w:rPr>
        <w:t xml:space="preserve">9.2. Venue and Jurisdiction. </w:t>
      </w:r>
      <w:r>
        <w:t xml:space="preserve">Any action arising out of or relating to this Agreement shall be brought exclusively in the state or federal courts located in Philadelphia County, Pennsylvania, and each Party irrevocably consents to personal jurisdiction and venue in such courts.</w:t>
      </w:r>
    </w:p>
    <w:p>
      <w:pPr>
        <w:spacing w:after="160" w:before="240" w:line="300"/>
        <w:jc w:val="both"/>
      </w:pPr>
      <w:r>
        <w:rPr>
          <w:b/>
          <w:bCs/>
        </w:rPr>
        <w:t xml:space="preserve">9.3. Equitable Relief. </w:t>
      </w:r>
      <w:r>
        <w:t xml:space="preserve">The Contractor acknowledges that breach of Article 4, 5, or 7 may cause the Company irreparable harm for which monetary damages are inadequate, and the Company shall be entitled to seek injunctive and other equitable relief in addition to any other remedies available at law or in equity, without the requirement to post bond.</w:t>
      </w:r>
    </w:p>
    <w:p>
      <w:pPr>
        <w:spacing w:after="160" w:before="240" w:line="300"/>
        <w:jc w:val="both"/>
      </w:pPr>
      <w:r>
        <w:rPr>
          <w:b/>
          <w:bCs/>
        </w:rPr>
        <w:t xml:space="preserve">9.4. Assignment. </w:t>
      </w:r>
      <w:r>
        <w:t xml:space="preserve">The Contractor may not assign or delegate this Agreement or any rights or obligations hereunder without the Company’s prior written consent. The Company may assign this Agreement without consent in connection with a merger, acquisition, reorganization, sale of substantially all assets, or formation of a successor entity (including any future Delaware limited liability company or corporation formed to operate FORA), and this Agreement shall be binding upon and inure to the benefit of the Parties’ successors and permitted assigns.</w:t>
      </w:r>
    </w:p>
    <w:p>
      <w:pPr>
        <w:spacing w:after="160" w:before="240" w:line="300"/>
        <w:jc w:val="both"/>
      </w:pPr>
      <w:r>
        <w:rPr>
          <w:b/>
          <w:bCs/>
        </w:rPr>
        <w:t xml:space="preserve">9.5. Notices. </w:t>
      </w:r>
      <w:r>
        <w:t xml:space="preserve">All notices under this Agreement shall be in writing and delivered by email with confirmation of receipt, by hand, or by overnight courier to the addresses set forth in the preamble or as updated in writing by the Parties.</w:t>
      </w:r>
    </w:p>
    <w:p>
      <w:pPr>
        <w:spacing w:after="160" w:before="240" w:line="300"/>
        <w:jc w:val="both"/>
      </w:pPr>
      <w:r>
        <w:rPr>
          <w:b/>
          <w:bCs/>
        </w:rPr>
        <w:t xml:space="preserve">9.6. Entire Agreement. </w:t>
      </w:r>
      <w:r>
        <w:t xml:space="preserve">This Agreement, together with any executed SOWs and the Mutual Non-Disclosure Agreement between the Parties (which is hereby incorporated by reference and which this Agreement shall supplement and not supersede), constitutes the entire agreement between the Parties regarding its subject matter and supersedes all prior or contemporaneous agreements, understandings, or representations, whether oral or written, on its subject matter. In the event of a direct conflict between this Agreement and a Statement of Work, this Agreement shall control unless the SOW expressly references and amends a specific provision of this Agreement.</w:t>
      </w:r>
    </w:p>
    <w:p>
      <w:pPr>
        <w:spacing w:after="160" w:before="240" w:line="300"/>
        <w:jc w:val="both"/>
      </w:pPr>
      <w:r>
        <w:rPr>
          <w:b/>
          <w:bCs/>
        </w:rPr>
        <w:t xml:space="preserve">9.7. Amendment. </w:t>
      </w:r>
      <w:r>
        <w:t xml:space="preserve">No amendment to this Agreement is effective unless in writing and signed by both Parties.</w:t>
      </w:r>
    </w:p>
    <w:p>
      <w:pPr>
        <w:spacing w:after="160" w:before="240" w:line="300"/>
        <w:jc w:val="both"/>
      </w:pPr>
      <w:r>
        <w:rPr>
          <w:b/>
          <w:bCs/>
        </w:rPr>
        <w:t xml:space="preserve">9.8. Waiver. </w:t>
      </w:r>
      <w:r>
        <w:t xml:space="preserve">No waiver of any provision is effective unless in writing and signed by the waiving Party. No failure or delay by either Party in exercising any right under this Agreement constitutes a waiver.</w:t>
      </w:r>
    </w:p>
    <w:p>
      <w:pPr>
        <w:spacing w:after="160" w:before="240" w:line="300"/>
        <w:jc w:val="both"/>
      </w:pPr>
      <w:r>
        <w:rPr>
          <w:b/>
          <w:bCs/>
        </w:rPr>
        <w:t xml:space="preserve">9.9. Severability. </w:t>
      </w:r>
      <w:r>
        <w:t xml:space="preserve">If any provision is held invalid or unenforceable, the remaining provisions shall remain in full force and effect, and the invalid or unenforceable provision shall be reformed to the minimum extent necessary to render it enforceable.</w:t>
      </w:r>
    </w:p>
    <w:p>
      <w:pPr>
        <w:spacing w:after="160" w:before="240" w:line="300"/>
        <w:jc w:val="both"/>
      </w:pPr>
      <w:r>
        <w:rPr>
          <w:b/>
          <w:bCs/>
        </w:rPr>
        <w:t xml:space="preserve">9.10. Counterparts and Electronic Signatures. </w:t>
      </w:r>
      <w:r>
        <w:t xml:space="preserve">This Agreement may be executed in counterparts, including by electronic signature, each of which shall be an original and all of which together shall constitute one instrument.</w:t>
      </w:r>
    </w:p>
    <w:p>
      <w:pPr>
        <w:spacing w:after="160" w:before="240" w:line="300"/>
        <w:jc w:val="both"/>
      </w:pPr>
      <w:r>
        <w:rPr>
          <w:b/>
          <w:bCs/>
        </w:rPr>
        <w:t xml:space="preserve">9.11. Headings. </w:t>
      </w:r>
      <w:r>
        <w:t xml:space="preserve">Section and Article headings are for convenience only and do not affect interpretation.</w:t>
      </w:r>
    </w:p>
    <w:p>
      <w:pPr>
        <w:spacing w:after="240" w:before="480" w:line="300"/>
        <w:jc w:val="both"/>
      </w:pPr>
      <w:r>
        <w:rPr>
          <w:b/>
          <w:bCs/>
        </w:rPr>
        <w:t xml:space="preserve">IN WITNESS WHEREOF</w:t>
      </w:r>
      <w:r>
        <w:t xml:space="preserve">, the Parties have executed this Agreement as of the Effective Date.</w:t>
      </w:r>
    </w:p>
    <w:p>
      <w:pPr>
        <w:spacing w:after="120" w:before="240"/>
      </w:pPr>
      <w:r>
        <w:rPr>
          <w:b/>
          <w:bCs/>
        </w:rPr>
        <w:t xml:space="preserve">COMPANY</w:t>
      </w:r>
    </w:p>
    <w:p>
      <w:pPr>
        <w:pBdr>
          <w:bottom w:val="single" w:color="000000" w:sz="6" w:space="1"/>
        </w:pBdr>
        <w:spacing w:after="0" w:before="240"/>
      </w:pPr>
      <w:r>
        <w:t xml:space="preserve"> </w:t>
      </w:r>
    </w:p>
    <w:p>
      <w:pPr>
        <w:spacing w:after="60" w:before="60"/>
      </w:pPr>
      <w:r>
        <w:rPr>
          <w:sz w:val="20"/>
          <w:szCs w:val="20"/>
        </w:rPr>
        <w:t xml:space="preserve">Signature</w:t>
      </w:r>
    </w:p>
    <w:p>
      <w:pPr>
        <w:spacing w:after="120"/>
      </w:pPr>
      <w:r>
        <w:t xml:space="preserve"> </w:t>
      </w:r>
    </w:p>
    <w:p>
      <w:pPr>
        <w:spacing w:after="120"/>
        <w:jc w:val="both"/>
      </w:pPr>
      <w:r>
        <w:rPr>
          <w:b/>
          <w:bCs/>
        </w:rPr>
        <w:t xml:space="preserve">Name: </w:t>
      </w:r>
      <w:r>
        <w:t xml:space="preserve">Noah ________________________________</w:t>
      </w:r>
    </w:p>
    <w:p>
      <w:pPr>
        <w:spacing w:after="120"/>
        <w:jc w:val="both"/>
      </w:pPr>
      <w:r>
        <w:rPr>
          <w:b/>
          <w:bCs/>
        </w:rPr>
        <w:t xml:space="preserve">Title: </w:t>
      </w:r>
      <w:r>
        <w:t xml:space="preserve">Founder, FORA</w:t>
      </w:r>
    </w:p>
    <w:p>
      <w:pPr>
        <w:spacing w:after="360"/>
        <w:jc w:val="both"/>
      </w:pPr>
      <w:r>
        <w:rPr>
          <w:b/>
          <w:bCs/>
        </w:rPr>
        <w:t xml:space="preserve">Date: </w:t>
      </w:r>
      <w:r>
        <w:t xml:space="preserve">________________________________</w:t>
      </w:r>
    </w:p>
    <w:p>
      <w:pPr>
        <w:spacing w:after="120" w:before="240"/>
      </w:pPr>
      <w:r>
        <w:rPr>
          <w:b/>
          <w:bCs/>
        </w:rPr>
        <w:t xml:space="preserve">CONTRACTOR</w:t>
      </w:r>
    </w:p>
    <w:p>
      <w:pPr>
        <w:pBdr>
          <w:bottom w:val="single" w:color="000000" w:sz="6" w:space="1"/>
        </w:pBdr>
        <w:spacing w:after="0" w:before="240"/>
      </w:pPr>
      <w:r>
        <w:t xml:space="preserve"> </w:t>
      </w:r>
    </w:p>
    <w:p>
      <w:pPr>
        <w:spacing w:after="60" w:before="60"/>
      </w:pPr>
      <w:r>
        <w:rPr>
          <w:sz w:val="20"/>
          <w:szCs w:val="20"/>
        </w:rPr>
        <w:t xml:space="preserve">Signature</w:t>
      </w:r>
    </w:p>
    <w:p>
      <w:pPr>
        <w:spacing w:after="120"/>
      </w:pPr>
      <w:r>
        <w:t xml:space="preserve"> </w:t>
      </w:r>
    </w:p>
    <w:p>
      <w:pPr>
        <w:spacing w:after="120"/>
        <w:jc w:val="both"/>
      </w:pPr>
      <w:r>
        <w:rPr>
          <w:b/>
          <w:bCs/>
        </w:rPr>
        <w:t xml:space="preserve">Name: </w:t>
      </w:r>
      <w:r>
        <w:t xml:space="preserve">Kasey Schram</w:t>
      </w:r>
    </w:p>
    <w:p>
      <w:pPr>
        <w:spacing w:after="120"/>
        <w:jc w:val="both"/>
      </w:pPr>
      <w:r>
        <w:rPr>
          <w:b/>
          <w:bCs/>
        </w:rPr>
        <w:t xml:space="preserve">d/b/a: </w:t>
      </w:r>
      <w:r>
        <w:t xml:space="preserve">Somewhere Media</w:t>
      </w:r>
    </w:p>
    <w:p>
      <w:pPr>
        <w:spacing w:after="120"/>
        <w:jc w:val="both"/>
      </w:pPr>
      <w:r>
        <w:t xml:space="preserve">County of Philadelphia, Commonwealth of Pennsylvania</w:t>
      </w:r>
    </w:p>
    <w:p>
      <w:pPr>
        <w:spacing w:after="240"/>
        <w:jc w:val="both"/>
      </w:pPr>
      <w:r>
        <w:rPr>
          <w:b/>
          <w:bCs/>
        </w:rPr>
        <w:t xml:space="preserve">Date: </w:t>
      </w:r>
      <w:r>
        <w:t xml:space="preserve">________________________________</w:t>
      </w:r>
    </w:p>
    <w:p>
      <w:pPr>
        <w:spacing w:after="120" w:before="480"/>
        <w:jc w:val="center"/>
      </w:pPr>
      <w:r>
        <w:rPr>
          <w:b/>
          <w:bCs/>
          <w:sz w:val="26"/>
          <w:szCs w:val="26"/>
        </w:rPr>
        <w:t xml:space="preserve">EXHIBIT A — STATEMENT OF WORK NO. 1</w:t>
      </w:r>
    </w:p>
    <w:p>
      <w:pPr>
        <w:spacing w:after="240" w:before="0"/>
        <w:jc w:val="center"/>
      </w:pPr>
      <w:r>
        <w:rPr>
          <w:i/>
          <w:iCs/>
          <w:color w:val="555555"/>
        </w:rPr>
        <w:t xml:space="preserve">Scoping Audit</w:t>
      </w:r>
    </w:p>
    <w:p>
      <w:pPr>
        <w:spacing w:after="160" w:line="300"/>
        <w:jc w:val="both"/>
      </w:pPr>
      <w:r>
        <w:t xml:space="preserve">This Statement of Work No. 1 (“SOW No. 1”) is entered into pursuant to the Independent Contractor Agreement dated ________________, 20___ between the Company and the Contractor (the “Agreement”). Capitalized terms used and not defined herein have the meanings given in the Agreement.</w:t>
      </w:r>
    </w:p>
    <w:p>
      <w:pPr>
        <w:spacing w:after="120" w:before="240"/>
      </w:pPr>
      <w:r>
        <w:rPr>
          <w:b/>
          <w:bCs/>
        </w:rPr>
        <w:t xml:space="preserve">1. Scope.</w:t>
      </w:r>
    </w:p>
    <w:p>
      <w:pPr>
        <w:spacing w:after="160" w:line="300"/>
        <w:jc w:val="both"/>
      </w:pPr>
      <w:r>
        <w:t xml:space="preserve">The Contractor shall perform a scoping audit of the FORA platform consisting of: (a) review of the FORA GitHub repository at EmetGolmi/fora; (b) review of the FORA session reference document and entity-relationship diagram; (c) inspection of the live FORA Philadelphia MVP at fora.center; (d) review of Railway hosting configuration and deployment logs (read access); (e) review of third-party data integrations (Congress.gov, OpenStates, Legistar, NewsAPI, FEC, ArcGIS); and (f) preparation of a written audit report and a Bill of Services for subsequent SOWs.</w:t>
      </w:r>
    </w:p>
    <w:p>
      <w:pPr>
        <w:spacing w:after="120" w:before="240"/>
      </w:pPr>
      <w:r>
        <w:rPr>
          <w:b/>
          <w:bCs/>
        </w:rPr>
        <w:t xml:space="preserve">2. Deliverables.</w:t>
      </w:r>
    </w:p>
    <w:p>
      <w:pPr>
        <w:spacing w:after="160" w:line="300"/>
        <w:jc w:val="both"/>
      </w:pPr>
      <w:r>
        <w:t xml:space="preserve">(a) Written Audit Report identifying current state, gaps, risks, and recommended priorities. (b) Bill of Services proposing scope, milestones, and pricing for follow-on SOWs.</w:t>
      </w:r>
    </w:p>
    <w:p>
      <w:pPr>
        <w:spacing w:after="120" w:before="240"/>
      </w:pPr>
      <w:r>
        <w:rPr>
          <w:b/>
          <w:bCs/>
        </w:rPr>
        <w:t xml:space="preserve">3. Timeline.</w:t>
      </w:r>
    </w:p>
    <w:p>
      <w:pPr>
        <w:spacing w:after="160" w:line="300"/>
        <w:jc w:val="both"/>
      </w:pPr>
      <w:r>
        <w:t xml:space="preserve">Estimated five to ten (5–10) hours of work, completed within fourteen (14) calendar days of the Effective Date of this SOW.</w:t>
      </w:r>
    </w:p>
    <w:p>
      <w:pPr>
        <w:spacing w:after="120" w:before="240"/>
      </w:pPr>
      <w:r>
        <w:rPr>
          <w:b/>
          <w:bCs/>
        </w:rPr>
        <w:t xml:space="preserve">4. Fee.</w:t>
      </w:r>
    </w:p>
    <w:p>
      <w:pPr>
        <w:spacing w:after="160" w:line="300"/>
        <w:jc w:val="both"/>
      </w:pPr>
      <w:r>
        <w:t xml:space="preserve">Flat fee of $</w:t>
      </w:r>
      <w:r>
        <w:rPr>
          <w:b/>
          <w:bCs/>
        </w:rPr>
        <w:t xml:space="preserve">________</w:t>
      </w:r>
      <w:r>
        <w:t xml:space="preserve"> (within the range of $400–$800), payable upon delivery of the Audit Report and Bill of Services.</w:t>
      </w:r>
    </w:p>
    <w:p>
      <w:pPr>
        <w:spacing w:after="120" w:before="240"/>
      </w:pPr>
      <w:r>
        <w:rPr>
          <w:b/>
          <w:bCs/>
        </w:rPr>
        <w:t xml:space="preserve">5. Access Provided.</w:t>
      </w:r>
    </w:p>
    <w:p>
      <w:pPr>
        <w:spacing w:after="160" w:line="300"/>
        <w:jc w:val="both"/>
      </w:pPr>
      <w:r>
        <w:t xml:space="preserve">Read access to the GitHub repository at EmetGolmi/fora; access to the FORA session reference document and entity-relationship diagram; read access to Railway logs where reasonably available.</w:t>
      </w:r>
    </w:p>
    <w:p>
      <w:pPr>
        <w:spacing w:after="120" w:before="240"/>
      </w:pPr>
      <w:r>
        <w:rPr>
          <w:b/>
          <w:bCs/>
        </w:rPr>
        <w:t xml:space="preserve">6. Acceptance.</w:t>
      </w:r>
    </w:p>
    <w:p>
      <w:pPr>
        <w:spacing w:after="160" w:line="300"/>
        <w:jc w:val="both"/>
      </w:pPr>
      <w:r>
        <w:t xml:space="preserve">The deliverables are deemed accepted upon Company’s written confirmation, or, absent objection, seven (7) calendar days after delivery.</w:t>
      </w:r>
    </w:p>
    <w:p>
      <w:pPr>
        <w:spacing w:after="120" w:before="360"/>
      </w:pPr>
      <w:r>
        <w:rPr>
          <w:b/>
          <w:bCs/>
        </w:rPr>
        <w:t xml:space="preserve">AGREED:</w:t>
      </w:r>
    </w:p>
    <w:p>
      <w:pPr>
        <w:spacing w:after="0" w:before="120"/>
      </w:pPr>
      <w:r>
        <w:rPr>
          <w:b/>
          <w:bCs/>
        </w:rPr>
        <w:t xml:space="preserve">Company:</w:t>
      </w:r>
    </w:p>
    <w:p>
      <w:pPr>
        <w:pBdr>
          <w:bottom w:val="single" w:color="000000" w:sz="6" w:space="1"/>
        </w:pBdr>
        <w:spacing w:after="0" w:before="240"/>
      </w:pPr>
      <w:r>
        <w:t xml:space="preserve"> </w:t>
      </w:r>
    </w:p>
    <w:p>
      <w:pPr>
        <w:spacing w:after="60" w:before="60"/>
      </w:pPr>
      <w:r>
        <w:rPr>
          <w:sz w:val="20"/>
          <w:szCs w:val="20"/>
        </w:rPr>
        <w:t xml:space="preserve">Noah ________________ — Founder, FORA   Date: ____________</w:t>
      </w:r>
    </w:p>
    <w:p>
      <w:pPr>
        <w:spacing w:after="0" w:before="240"/>
      </w:pPr>
      <w:r>
        <w:rPr>
          <w:b/>
          <w:bCs/>
        </w:rPr>
        <w:t xml:space="preserve">Contractor:</w:t>
      </w:r>
    </w:p>
    <w:p>
      <w:pPr>
        <w:pBdr>
          <w:bottom w:val="single" w:color="000000" w:sz="6" w:space="1"/>
        </w:pBdr>
        <w:spacing w:after="0" w:before="240"/>
      </w:pPr>
      <w:r>
        <w:t xml:space="preserve"> </w:t>
      </w:r>
    </w:p>
    <w:p>
      <w:pPr>
        <w:spacing w:after="60" w:before="60"/>
      </w:pPr>
      <w:r>
        <w:rPr>
          <w:sz w:val="20"/>
          <w:szCs w:val="20"/>
        </w:rPr>
        <w:t xml:space="preserve">Kasey Schram — d/b/a Somewhere Media   Date: 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Arial" w:cs="Arial" w:eastAsia="Arial" w:hAnsi="Arial"/>
      <w:b/>
      <w:bCs/>
      <w:sz w:val="32"/>
      <w:szCs w:val="32"/>
    </w:rPr>
  </w:style>
  <w:style w:type="paragraph" w:styleId="Subtitle">
    <w:name w:val="Subtitle"/>
    <w:basedOn w:val="Normal"/>
    <w:next w:val="Normal"/>
    <w:pPr>
      <w:spacing w:after="360" w:before="0"/>
      <w:jc w:val="center"/>
    </w:pPr>
    <w:rPr>
      <w:rFonts w:ascii="Arial" w:cs="Arial" w:eastAsia="Arial"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with IP Assignment — FORA</dc:title>
  <dc:creator>Noah</dc:creator>
  <dc:description>FORA — Independent Contractor Agreement with IP Assignment, Confidentiality, and Non-Compete</dc:description>
  <cp:lastModifiedBy>Un-named</cp:lastModifiedBy>
  <cp:revision>1</cp:revision>
  <dcterms:created xsi:type="dcterms:W3CDTF">2026-05-02T15:58:00.520Z</dcterms:created>
  <dcterms:modified xsi:type="dcterms:W3CDTF">2026-05-02T15:58:00.520Z</dcterms:modified>
</cp:coreProperties>
</file>

<file path=docProps/custom.xml><?xml version="1.0" encoding="utf-8"?>
<Properties xmlns="http://schemas.openxmlformats.org/officeDocument/2006/custom-properties" xmlns:vt="http://schemas.openxmlformats.org/officeDocument/2006/docPropsVTypes"/>
</file>