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JetBrains Mono" w:cs="JetBrains Mono" w:eastAsia="JetBrains Mono" w:hAnsi="JetBrains Mono"/>
          <w:color w:val="9C7A3F"/>
          <w:spacing w:val="80"/>
          <w:sz w:val="16"/>
          <w:szCs w:val="16"/>
        </w:rPr>
        <w:t xml:space="preserve">WITH THE BLESSING OF THE ALMIGHTY</w:t>
      </w:r>
    </w:p>
    <w:p>
      <w:pPr>
        <w:spacing w:after="0" w:before="240"/>
        <w:jc w:val="center"/>
      </w:pPr>
      <w:r>
        <w:rPr>
          <w:rFonts w:ascii="Cinzel" w:cs="Cinzel" w:eastAsia="Cinzel" w:hAnsi="Cinzel"/>
          <w:b/>
          <w:bCs/>
          <w:color w:val="0F2845"/>
          <w:spacing w:val="120"/>
          <w:sz w:val="72"/>
          <w:szCs w:val="72"/>
        </w:rPr>
        <w:t xml:space="preserve">FORA</w:t>
      </w:r>
    </w:p>
    <w:p>
      <w:pPr>
        <w:spacing w:after="0" w:before="80"/>
        <w:jc w:val="center"/>
      </w:pPr>
      <w:r>
        <w:rPr>
          <w:rFonts w:ascii="Cinzel" w:cs="Cinzel" w:eastAsia="Cinzel" w:hAnsi="Cinzel"/>
          <w:color w:val="0F2845"/>
          <w:spacing w:val="100"/>
          <w:sz w:val="24"/>
          <w:szCs w:val="24"/>
        </w:rPr>
        <w:t xml:space="preserve">CHARTER MISSION DRAFTS</w:t>
      </w:r>
    </w:p>
    <w:p>
      <w:pPr>
        <w:spacing w:after="0" w:before="80"/>
        <w:jc w:val="center"/>
      </w:pPr>
      <w:r>
        <w:rPr>
          <w:rFonts w:ascii="Libre Baskerville" w:cs="Libre Baskerville" w:eastAsia="Libre Baskerville" w:hAnsi="Libre Baskerville"/>
          <w:i/>
          <w:iCs/>
          <w:color w:val="555555"/>
          <w:sz w:val="20"/>
          <w:szCs w:val="20"/>
        </w:rPr>
        <w:t xml:space="preserve">Three Versions for the Public Benefit Corporation</w:t>
      </w:r>
    </w:p>
    <w:p>
      <w:pPr>
        <w:spacing w:after="480" w:before="40"/>
        <w:jc w:val="center"/>
      </w:pPr>
      <w:r>
        <w:rPr>
          <w:rFonts w:ascii="JetBrains Mono" w:cs="JetBrains Mono" w:eastAsia="JetBrains Mono" w:hAnsi="JetBrains Mono"/>
          <w:color w:val="555555"/>
          <w:sz w:val="18"/>
          <w:szCs w:val="18"/>
        </w:rPr>
        <w:t xml:space="preserve">Certificate of Incorporation · Article III · Public Benefit Purpose</w:t>
      </w:r>
    </w:p>
    <w:p>
      <w:pPr>
        <w:pBdr>
          <w:bottom w:val="single" w:color="9C7A3F" w:sz="12" w:space="1"/>
        </w:pBdr>
        <w:spacing w:after="360" w:before="0"/>
      </w:pPr>
      <w:r>
        <w:t xml:space="preserve"/>
      </w:r>
    </w:p>
    <w:p>
      <w:pPr>
        <w:spacing w:after="0" w:before="480"/>
      </w:pPr>
      <w:r>
        <w:rPr>
          <w:rFonts w:ascii="Cinzel" w:cs="Cinzel" w:eastAsia="Cinzel" w:hAnsi="Cinzel"/>
          <w:b/>
          <w:bCs/>
          <w:color w:val="0F2845"/>
          <w:sz w:val="22"/>
          <w:szCs w:val="22"/>
        </w:rPr>
        <w:t xml:space="preserve">PREFACE</w:t>
      </w:r>
    </w:p>
    <w:p>
      <w:pPr>
        <w:pBdr>
          <w:bottom w:val="single" w:color="9C7A3F" w:sz="6" w:space="1"/>
        </w:pBdr>
        <w:spacing w:after="240" w:before="60"/>
      </w:pPr>
      <w:r>
        <w:t xml:space="preserve"/>
      </w:r>
    </w:p>
    <w:p>
      <w:pPr>
        <w:spacing w:after="160" w:before="0"/>
        <w:jc w:val="left"/>
      </w:pPr>
      <w:r>
        <w:rPr>
          <w:rFonts w:ascii="Libre Baskerville" w:cs="Libre Baskerville" w:eastAsia="Libre Baskerville" w:hAnsi="Libre Baskerville"/>
          <w:i w:val="false"/>
          <w:iCs w:val="false"/>
          <w:color w:val="1A1A1A"/>
          <w:sz w:val="22"/>
          <w:szCs w:val="22"/>
        </w:rPr>
        <w:t xml:space="preserve">Noah — what follows are three drafts of FORA's public benefit purpose. This is the paragraph that gets carved into the certificate of incorporation of FORA, PBC. Once filed with the Delaware Secretary of State, it becomes legally binding on every director, officer, employee, shareholder, and future buyer of the company. It can only be changed by a 2/3 supermajority of voting shares — and even then, the change must be re-filed publicly.</w:t>
      </w:r>
    </w:p>
    <w:p>
      <w:pPr>
        <w:spacing w:after="160" w:before="0"/>
        <w:jc w:val="left"/>
      </w:pPr>
      <w:r>
        <w:rPr>
          <w:rFonts w:ascii="Libre Baskerville" w:cs="Libre Baskerville" w:eastAsia="Libre Baskerville" w:hAnsi="Libre Baskerville"/>
          <w:i w:val="false"/>
          <w:iCs w:val="false"/>
          <w:color w:val="1A1A1A"/>
          <w:sz w:val="22"/>
          <w:szCs w:val="22"/>
        </w:rPr>
        <w:t xml:space="preserve">This is the document that outlives you. Read each draft aloud. The one that survives that test is the one to file.</w:t>
      </w:r>
    </w:p>
    <w:p>
      <w:pPr>
        <w:spacing w:after="160" w:before="0"/>
        <w:jc w:val="left"/>
      </w:pPr>
      <w:r>
        <w:rPr>
          <w:rFonts w:ascii="Libre Baskerville" w:cs="Libre Baskerville" w:eastAsia="Libre Baskerville" w:hAnsi="Libre Baskerville"/>
          <w:i w:val="false"/>
          <w:iCs w:val="false"/>
          <w:color w:val="1A1A1A"/>
          <w:sz w:val="22"/>
          <w:szCs w:val="22"/>
        </w:rPr>
        <w:t xml:space="preserve">Each draft is calibrated differently. Draft I is minimalist — what a Delaware corporate lawyer will tell you to file. Draft II is comprehensive — the full architecture, four sectors, the lock on Governance. Draft III is aspirational — the version that names what FORA is for in language closer to your own. Pick one, or take fragments from each into a fourth.</w:t>
      </w:r>
    </w:p>
    <w:p>
      <w:pPr>
        <w:spacing w:after="160" w:before="80"/>
      </w:pPr>
      <w:r>
        <w:rPr>
          <w:rFonts w:ascii="Libre Baskerville" w:cs="Libre Baskerville" w:eastAsia="Libre Baskerville" w:hAnsi="Libre Baskerville"/>
          <w:i/>
          <w:iCs/>
          <w:color w:val="555555"/>
          <w:sz w:val="20"/>
          <w:szCs w:val="20"/>
        </w:rPr>
        <w:t xml:space="preserve">Important: every draft below is structured around the same five non-negotiables — perpetual free Governance, equal access, no-faces-first, full transparency, and the firewall between citizen functions and professional commerce. These come from your existing FORA constitution, not from me. I'm only choosing how tightly to bind them.</w:t>
      </w:r>
    </w:p>
    <w:p>
      <w:pPr>
        <w:spacing w:after="0" w:before="480"/>
      </w:pPr>
      <w:r>
        <w:rPr>
          <w:rFonts w:ascii="Cinzel" w:cs="Cinzel" w:eastAsia="Cinzel" w:hAnsi="Cinzel"/>
          <w:b/>
          <w:bCs/>
          <w:color w:val="0F2845"/>
          <w:sz w:val="22"/>
          <w:szCs w:val="22"/>
        </w:rPr>
        <w:t xml:space="preserve">DRAFT I — MINIMALIST</w:t>
      </w:r>
    </w:p>
    <w:p>
      <w:pPr>
        <w:pBdr>
          <w:bottom w:val="single" w:color="9C7A3F" w:sz="6" w:space="1"/>
        </w:pBdr>
        <w:spacing w:after="240" w:before="60"/>
      </w:pPr>
      <w:r>
        <w:t xml:space="preserve"/>
      </w:r>
    </w:p>
    <w:p>
      <w:pPr>
        <w:spacing w:after="80" w:before="0"/>
      </w:pPr>
      <w:r>
        <w:rPr>
          <w:rFonts w:ascii="JetBrains Mono" w:cs="JetBrains Mono" w:eastAsia="JetBrains Mono" w:hAnsi="JetBrains Mono"/>
          <w:b/>
          <w:bCs/>
          <w:color w:val="9C7A3F"/>
          <w:spacing w:val="80"/>
          <w:sz w:val="16"/>
          <w:szCs w:val="16"/>
        </w:rPr>
        <w:t xml:space="preserve">APPROXIMATELY 90 WORDS · THE VERSION A DELAWARE CORPORATE LAWYER WILL RECOMMEND</w:t>
      </w:r>
    </w:p>
    <w:p>
      <w:pPr>
        <w:spacing w:after="160" w:before="0"/>
        <w:jc w:val="left"/>
      </w:pPr>
      <w:r>
        <w:rPr>
          <w:rFonts w:ascii="Libre Baskerville" w:cs="Libre Baskerville" w:eastAsia="Libre Baskerville" w:hAnsi="Libre Baskerville"/>
          <w:i w:val="false"/>
          <w:iCs w:val="false"/>
          <w:color w:val="1A1A1A"/>
          <w:sz w:val="22"/>
          <w:szCs w:val="22"/>
        </w:rPr>
        <w:t xml:space="preserve">This version is the shortest legally-binding statement that protects the core. It does the minimum work required to lock Governance as free forever and bind directors to balance commerce against civic mission. Everything else lives in policy documents that can evolve.</w:t>
      </w:r>
    </w:p>
    <w:p>
      <w:pPr>
        <w:spacing w:after="120" w:before="240"/>
      </w:pPr>
      <w:r>
        <w:rPr>
          <w:rFonts w:ascii="JetBrains Mono" w:cs="JetBrains Mono" w:eastAsia="JetBrains Mono" w:hAnsi="JetBrains Mono"/>
          <w:b/>
          <w:bCs/>
          <w:color w:val="0F2845"/>
          <w:spacing w:val="60"/>
          <w:sz w:val="18"/>
          <w:szCs w:val="18"/>
        </w:rPr>
        <w:t xml:space="preserve">THE CHARTER LANGUAGE</w:t>
      </w:r>
    </w:p>
    <w:p>
      <w:pPr>
        <w:spacing w:after="80" w:before="80" w:line="360"/>
        <w:ind w:left="720" w:right="720"/>
        <w:jc w:val="both"/>
      </w:pPr>
      <w:r>
        <w:rPr>
          <w:rFonts w:ascii="Libre Baskerville" w:cs="Libre Baskerville" w:eastAsia="Libre Baskerville" w:hAnsi="Libre Baskerville"/>
          <w:color w:val="1A1A1A"/>
          <w:sz w:val="22"/>
          <w:szCs w:val="22"/>
        </w:rPr>
        <w:t xml:space="preserve">The specific public benefit purpose of this corporation is to build and perpetually maintain civic infrastructure that reconnects people with their communities and their governments. Governance functions of the platform — including access to elected officials, legislation, voting records, and the public civic record — shall be provided without charge to all citizens, governments, and civic organizations, in perpetuity. The corporation shall pursue this purpose alongside, and balanced with, the financial interests of its stockholders.</w:t>
      </w:r>
    </w:p>
    <w:p>
      <w:pPr>
        <w:spacing w:after="120" w:before="240"/>
      </w:pPr>
      <w:r>
        <w:rPr>
          <w:rFonts w:ascii="JetBrains Mono" w:cs="JetBrains Mono" w:eastAsia="JetBrains Mono" w:hAnsi="JetBrains Mono"/>
          <w:b/>
          <w:bCs/>
          <w:color w:val="0F2845"/>
          <w:spacing w:val="60"/>
          <w:sz w:val="18"/>
          <w:szCs w:val="18"/>
        </w:rPr>
        <w:t xml:space="preserve">WHY THIS VERSION</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Every word is load-bearing. "Perpetually maintain" is the forever clause. "Without charge" closes the door on a future board monetizing civic access. "In perpetuity" makes the lock survive ownership changes.</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The phrase "balanced with, the financial interests of its stockholders" is the standard Delaware PBC formulation. It gives directors legal cover to refuse purely profit-maximizing demands without violating fiduciary duty.</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What's missing is detail: no mention of the four sectors, no transparency principle, no equal-access language. Those would live in bylaws and policy documents — easier to update, but also easier to erode.</w:t>
      </w:r>
    </w:p>
    <w:p>
      <w:pPr>
        <w:spacing w:after="160" w:before="80"/>
      </w:pPr>
      <w:r>
        <w:rPr>
          <w:rFonts w:ascii="Libre Baskerville" w:cs="Libre Baskerville" w:eastAsia="Libre Baskerville" w:hAnsi="Libre Baskerville"/>
          <w:i/>
          <w:iCs/>
          <w:color w:val="555555"/>
          <w:sz w:val="20"/>
          <w:szCs w:val="20"/>
        </w:rPr>
        <w:t xml:space="preserve">Use this draft if you trust future versions of the company's leadership to honor unwritten principles. You probably shouldn't.</w:t>
      </w:r>
    </w:p>
    <w:p>
      <w:pPr>
        <w:spacing w:after="0" w:before="480"/>
      </w:pPr>
      <w:r>
        <w:rPr>
          <w:rFonts w:ascii="Cinzel" w:cs="Cinzel" w:eastAsia="Cinzel" w:hAnsi="Cinzel"/>
          <w:b/>
          <w:bCs/>
          <w:color w:val="0F2845"/>
          <w:sz w:val="22"/>
          <w:szCs w:val="22"/>
        </w:rPr>
        <w:t xml:space="preserve">DRAFT II — COMPREHENSIVE</w:t>
      </w:r>
    </w:p>
    <w:p>
      <w:pPr>
        <w:pBdr>
          <w:bottom w:val="single" w:color="9C7A3F" w:sz="6" w:space="1"/>
        </w:pBdr>
        <w:spacing w:after="240" w:before="60"/>
      </w:pPr>
      <w:r>
        <w:t xml:space="preserve"/>
      </w:r>
    </w:p>
    <w:p>
      <w:pPr>
        <w:spacing w:after="80" w:before="0"/>
      </w:pPr>
      <w:r>
        <w:rPr>
          <w:rFonts w:ascii="JetBrains Mono" w:cs="JetBrains Mono" w:eastAsia="JetBrains Mono" w:hAnsi="JetBrains Mono"/>
          <w:b/>
          <w:bCs/>
          <w:color w:val="9C7A3F"/>
          <w:spacing w:val="80"/>
          <w:sz w:val="16"/>
          <w:szCs w:val="16"/>
        </w:rPr>
        <w:t xml:space="preserve">APPROXIMATELY 280 WORDS · THE FULL ARCHITECTURE, LOCKED AT THE CHARTER LEVEL</w:t>
      </w:r>
    </w:p>
    <w:p>
      <w:pPr>
        <w:spacing w:after="160" w:before="0"/>
        <w:jc w:val="left"/>
      </w:pPr>
      <w:r>
        <w:rPr>
          <w:rFonts w:ascii="Libre Baskerville" w:cs="Libre Baskerville" w:eastAsia="Libre Baskerville" w:hAnsi="Libre Baskerville"/>
          <w:i w:val="false"/>
          <w:iCs w:val="false"/>
          <w:color w:val="1A1A1A"/>
          <w:sz w:val="22"/>
          <w:szCs w:val="22"/>
        </w:rPr>
        <w:t xml:space="preserve">This version writes the FORA constitution into the corporate charter. Every principle that matters is named explicitly, so no future board can claim ignorance. It is longer than most PBC purpose statements, but Delaware law imposes no length limit, and longer is harder to weaken.</w:t>
      </w:r>
    </w:p>
    <w:p>
      <w:pPr>
        <w:spacing w:after="120" w:before="240"/>
      </w:pPr>
      <w:r>
        <w:rPr>
          <w:rFonts w:ascii="JetBrains Mono" w:cs="JetBrains Mono" w:eastAsia="JetBrains Mono" w:hAnsi="JetBrains Mono"/>
          <w:b/>
          <w:bCs/>
          <w:color w:val="0F2845"/>
          <w:spacing w:val="60"/>
          <w:sz w:val="18"/>
          <w:szCs w:val="18"/>
        </w:rPr>
        <w:t xml:space="preserve">THE CHARTER LANGUAGE</w:t>
      </w:r>
    </w:p>
    <w:p>
      <w:pPr>
        <w:spacing w:after="80" w:before="80" w:line="360"/>
        <w:ind w:left="720" w:right="720"/>
        <w:jc w:val="both"/>
      </w:pPr>
      <w:r>
        <w:rPr>
          <w:rFonts w:ascii="Libre Baskerville" w:cs="Libre Baskerville" w:eastAsia="Libre Baskerville" w:hAnsi="Libre Baskerville"/>
          <w:color w:val="1A1A1A"/>
          <w:sz w:val="22"/>
          <w:szCs w:val="22"/>
        </w:rPr>
        <w:t xml:space="preserve">The specific public benefit purpose of this corporation is to build and perpetually maintain civic infrastructure that reconnects people with their communities and their governments, and that serves as a digital commons through which a functioning society conducts its public life.</w:t>
      </w:r>
    </w:p>
    <w:p>
      <w:pPr>
        <w:spacing w:after="80" w:before="80" w:line="360"/>
        <w:ind w:left="720" w:right="720"/>
        <w:jc w:val="both"/>
      </w:pPr>
      <w:r>
        <w:rPr>
          <w:rFonts w:ascii="Libre Baskerville" w:cs="Libre Baskerville" w:eastAsia="Libre Baskerville" w:hAnsi="Libre Baskerville"/>
          <w:color w:val="1A1A1A"/>
          <w:sz w:val="22"/>
          <w:szCs w:val="22"/>
        </w:rPr>
        <w:t xml:space="preserve">The corporation organizes its work in four domains: Governance, the relationship between people and their elected and appointed representatives; Knowledge, the law and discourse of public life; Identity, the values, faith, and character formation through which citizens find civic meaning; and Commerce, the contracting, permitting, and professional tools through which citizens and the institutions that serve them transact.</w:t>
      </w:r>
    </w:p>
    <w:p>
      <w:pPr>
        <w:spacing w:after="80" w:before="80" w:line="360"/>
        <w:ind w:left="720" w:right="720"/>
        <w:jc w:val="both"/>
      </w:pPr>
      <w:r>
        <w:rPr>
          <w:rFonts w:ascii="Libre Baskerville" w:cs="Libre Baskerville" w:eastAsia="Libre Baskerville" w:hAnsi="Libre Baskerville"/>
          <w:color w:val="1A1A1A"/>
          <w:sz w:val="22"/>
          <w:szCs w:val="22"/>
        </w:rPr>
        <w:t xml:space="preserve">The Governance, Knowledge, and Identity functions of the platform — including access to elected officials, legislation, voting records, the public civic record, structured discourse, source verification, and tools for civic identity formation — shall be provided without charge to all citizens, governments, and civic organizations, in perpetuity, and without tiered access based on ability to pay.</w:t>
      </w:r>
    </w:p>
    <w:p>
      <w:pPr>
        <w:spacing w:after="80" w:before="80" w:line="360"/>
        <w:ind w:left="720" w:right="720"/>
        <w:jc w:val="both"/>
      </w:pPr>
      <w:r>
        <w:rPr>
          <w:rFonts w:ascii="Libre Baskerville" w:cs="Libre Baskerville" w:eastAsia="Libre Baskerville" w:hAnsi="Libre Baskerville"/>
          <w:color w:val="1A1A1A"/>
          <w:sz w:val="22"/>
          <w:szCs w:val="22"/>
        </w:rPr>
        <w:t xml:space="preserve">The corporation shall operate under the principles of equal civic standing (no premium tier shall confer advantage in civic discourse), the priority of ideas over appearance (citizens shall meet one another's ideas before their identities), and full transparency (all platform thresholds, moderation policies, and reasoning shall be publicly disclosed).</w:t>
      </w:r>
    </w:p>
    <w:p>
      <w:pPr>
        <w:spacing w:after="80" w:before="80" w:line="360"/>
        <w:ind w:left="720" w:right="720"/>
        <w:jc w:val="both"/>
      </w:pPr>
      <w:r>
        <w:rPr>
          <w:rFonts w:ascii="Libre Baskerville" w:cs="Libre Baskerville" w:eastAsia="Libre Baskerville" w:hAnsi="Libre Baskerville"/>
          <w:color w:val="1A1A1A"/>
          <w:sz w:val="22"/>
          <w:szCs w:val="22"/>
        </w:rPr>
        <w:t xml:space="preserve">The corporation shall pursue this purpose alongside, and balanced with, the financial interests of its stockholders. Where these obligations conflict, the perpetuity of free civic Governance shall not be subordinated.</w:t>
      </w:r>
    </w:p>
    <w:p>
      <w:pPr>
        <w:spacing w:after="120" w:before="240"/>
      </w:pPr>
      <w:r>
        <w:rPr>
          <w:rFonts w:ascii="JetBrains Mono" w:cs="JetBrains Mono" w:eastAsia="JetBrains Mono" w:hAnsi="JetBrains Mono"/>
          <w:b/>
          <w:bCs/>
          <w:color w:val="0F2845"/>
          <w:spacing w:val="60"/>
          <w:sz w:val="18"/>
          <w:szCs w:val="18"/>
        </w:rPr>
        <w:t xml:space="preserve">WHY THIS VERSION</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Names all four sectors at the charter level. A future board cannot quietly fold Identity or Knowledge into Commerce.</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The three operating principles — equal standing, ideas over appearance, full transparency — are written in language directly traceable to your existing FORA principles. They become legally binding, not aspirational.</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The final clause — "the perpetuity of free civic Governance shall not be subordinated" — establishes a hierarchy. When stockholder interest and Governance access conflict, Governance wins. This is the strongest available mission lock under Delaware law.</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Risk: longer charters give hostile parties more surface area for litigation arguments. A future plaintiff could pick at any of the specific commitments. That's a feature, not a bug — the document should be enforceable — but it means whoever drafts the final version needs to be a real Delaware PBC attorney, not a generalist.</w:t>
      </w:r>
    </w:p>
    <w:p>
      <w:pPr>
        <w:spacing w:after="160" w:before="80"/>
      </w:pPr>
      <w:r>
        <w:rPr>
          <w:rFonts w:ascii="Libre Baskerville" w:cs="Libre Baskerville" w:eastAsia="Libre Baskerville" w:hAnsi="Libre Baskerville"/>
          <w:i/>
          <w:iCs/>
          <w:color w:val="555555"/>
          <w:sz w:val="20"/>
          <w:szCs w:val="20"/>
        </w:rPr>
        <w:t xml:space="preserve">This is the recommended version if you intend to take outside investment at any point. Investors will read this charter before wiring money. The ones who don't want to fund a mission-locked company will self-select out, which is what you want.</w:t>
      </w:r>
    </w:p>
    <w:p>
      <w:pPr>
        <w:spacing w:after="0" w:before="480"/>
      </w:pPr>
      <w:r>
        <w:rPr>
          <w:rFonts w:ascii="Cinzel" w:cs="Cinzel" w:eastAsia="Cinzel" w:hAnsi="Cinzel"/>
          <w:b/>
          <w:bCs/>
          <w:color w:val="0F2845"/>
          <w:sz w:val="22"/>
          <w:szCs w:val="22"/>
        </w:rPr>
        <w:t xml:space="preserve">DRAFT III — ASPIRATIONAL</w:t>
      </w:r>
    </w:p>
    <w:p>
      <w:pPr>
        <w:pBdr>
          <w:bottom w:val="single" w:color="9C7A3F" w:sz="6" w:space="1"/>
        </w:pBdr>
        <w:spacing w:after="240" w:before="60"/>
      </w:pPr>
      <w:r>
        <w:t xml:space="preserve"/>
      </w:r>
    </w:p>
    <w:p>
      <w:pPr>
        <w:spacing w:after="80" w:before="0"/>
      </w:pPr>
      <w:r>
        <w:rPr>
          <w:rFonts w:ascii="JetBrains Mono" w:cs="JetBrains Mono" w:eastAsia="JetBrains Mono" w:hAnsi="JetBrains Mono"/>
          <w:b/>
          <w:bCs/>
          <w:color w:val="9C7A3F"/>
          <w:spacing w:val="80"/>
          <w:sz w:val="16"/>
          <w:szCs w:val="16"/>
        </w:rPr>
        <w:t xml:space="preserve">APPROXIMATELY 220 WORDS · THE VERSION THAT SOUNDS LIKE FORA</w:t>
      </w:r>
    </w:p>
    <w:p>
      <w:pPr>
        <w:spacing w:after="160" w:before="0"/>
        <w:jc w:val="left"/>
      </w:pPr>
      <w:r>
        <w:rPr>
          <w:rFonts w:ascii="Libre Baskerville" w:cs="Libre Baskerville" w:eastAsia="Libre Baskerville" w:hAnsi="Libre Baskerville"/>
          <w:i w:val="false"/>
          <w:iCs w:val="false"/>
          <w:color w:val="1A1A1A"/>
          <w:sz w:val="22"/>
          <w:szCs w:val="22"/>
        </w:rPr>
        <w:t xml:space="preserve">This version uses language closer to your own. It still satisfies Delaware PBC requirements, but it reads like the document a founder writes when they are also the person who wrote the platform. The tradeoff: it is less neutral, more interpretable. Some clauses may draw scrutiny from a Delaware filing clerk. Most will pass.</w:t>
      </w:r>
    </w:p>
    <w:p>
      <w:pPr>
        <w:spacing w:after="120" w:before="240"/>
      </w:pPr>
      <w:r>
        <w:rPr>
          <w:rFonts w:ascii="JetBrains Mono" w:cs="JetBrains Mono" w:eastAsia="JetBrains Mono" w:hAnsi="JetBrains Mono"/>
          <w:b/>
          <w:bCs/>
          <w:color w:val="0F2845"/>
          <w:spacing w:val="60"/>
          <w:sz w:val="18"/>
          <w:szCs w:val="18"/>
        </w:rPr>
        <w:t xml:space="preserve">THE CHARTER LANGUAGE</w:t>
      </w:r>
    </w:p>
    <w:p>
      <w:pPr>
        <w:spacing w:after="80" w:before="80" w:line="360"/>
        <w:ind w:left="720" w:right="720"/>
        <w:jc w:val="both"/>
      </w:pPr>
      <w:r>
        <w:rPr>
          <w:rFonts w:ascii="Libre Baskerville" w:cs="Libre Baskerville" w:eastAsia="Libre Baskerville" w:hAnsi="Libre Baskerville"/>
          <w:color w:val="1A1A1A"/>
          <w:sz w:val="22"/>
          <w:szCs w:val="22"/>
        </w:rPr>
        <w:t xml:space="preserve">FORA exists to be a digital twin of society — a place where the four sectors of human life (Identity, Knowledge, Commerce, and Governance) meet in public, transparently, and on equal civic footing. Its specific public benefit purpose is to reconnect people with their communities and their governments, to make the work of citizenship legible and accessible, and to function as the people's lobby — transparent, equipped, and purposeful.</w:t>
      </w:r>
    </w:p>
    <w:p>
      <w:pPr>
        <w:spacing w:after="80" w:before="80" w:line="360"/>
        <w:ind w:left="720" w:right="720"/>
        <w:jc w:val="both"/>
      </w:pPr>
      <w:r>
        <w:rPr>
          <w:rFonts w:ascii="Libre Baskerville" w:cs="Libre Baskerville" w:eastAsia="Libre Baskerville" w:hAnsi="Libre Baskerville"/>
          <w:color w:val="1A1A1A"/>
          <w:sz w:val="22"/>
          <w:szCs w:val="22"/>
        </w:rPr>
        <w:t xml:space="preserve">FORA shall be free, forever, for citizens, governments, and civic organizations who use it to participate in the governance of their communities. No citizen shall be charged to see their representatives, to read the laws that govern them, to follow the public civic record, or to be heard. No tier of access shall confer advantage in civic discourse. People shall meet ideas before they meet appearances. Every threshold the platform applies shall be disclosed, in plain language, where any citizen can find it.</w:t>
      </w:r>
    </w:p>
    <w:p>
      <w:pPr>
        <w:spacing w:after="80" w:before="80" w:line="360"/>
        <w:ind w:left="720" w:right="720"/>
        <w:jc w:val="both"/>
      </w:pPr>
      <w:r>
        <w:rPr>
          <w:rFonts w:ascii="Libre Baskerville" w:cs="Libre Baskerville" w:eastAsia="Libre Baskerville" w:hAnsi="Libre Baskerville"/>
          <w:color w:val="1A1A1A"/>
          <w:sz w:val="22"/>
          <w:szCs w:val="22"/>
        </w:rPr>
        <w:t xml:space="preserve">FORA may charge for the professional and commercial tools through which the work of communities is built, permitted, contracted, and paid — the Commerce sector — and shall apply those proceeds to the perpetual maintenance and expansion of the free civic functions, and to the fair compensation of those who build them. The corporation shall pursue this purpose alongside, and balanced with, the financial interests of its stockholders, with the perpetuity of free civic Governance held inviolate.</w:t>
      </w:r>
    </w:p>
    <w:p>
      <w:pPr>
        <w:spacing w:after="120" w:before="240"/>
      </w:pPr>
      <w:r>
        <w:rPr>
          <w:rFonts w:ascii="JetBrains Mono" w:cs="JetBrains Mono" w:eastAsia="JetBrains Mono" w:hAnsi="JetBrains Mono"/>
          <w:b/>
          <w:bCs/>
          <w:color w:val="0F2845"/>
          <w:spacing w:val="60"/>
          <w:sz w:val="18"/>
          <w:szCs w:val="18"/>
        </w:rPr>
        <w:t xml:space="preserve">WHY THIS VERSION</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"The people's lobby — transparent, equipped, and purposeful" — your phrasing — appears verbatim. This is the only draft where the founder's voice is in the corporate document.</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Reads like a manifesto with legal teeth. The phrase "No citizen shall be charged to see their representatives" is enforceable language, but it is also language a citizen could quote back to a future FORA executive.</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Explicitly names the revenue model and its purpose: Commerce funds the free functions and pays the people who build them. This is the Tom Sawyer fence, written into the charter.</w:t>
      </w:r>
    </w:p>
    <w:p>
      <w:pPr>
        <w:pStyle w:val="ListParagraph"/>
        <w:numPr>
          <w:ilvl w:val="0"/>
          <w:numId w:val="2"/>
        </w:numPr>
        <w:spacing w:after="60" w:before="60"/>
      </w:pPr>
      <w:r>
        <w:rPr>
          <w:rFonts w:ascii="Libre Baskerville" w:cs="Libre Baskerville" w:eastAsia="Libre Baskerville" w:hAnsi="Libre Baskerville"/>
          <w:color w:val="1A1A1A"/>
          <w:sz w:val="22"/>
          <w:szCs w:val="22"/>
        </w:rPr>
        <w:t xml:space="preserve">"Held inviolate" is unusual phrasing for a Delaware filing. Some attorneys will push back on it as imprecise. It can stay if you're willing to defend it.</w:t>
      </w:r>
    </w:p>
    <w:p>
      <w:pPr>
        <w:spacing w:after="160" w:before="80"/>
      </w:pPr>
      <w:r>
        <w:rPr>
          <w:rFonts w:ascii="Libre Baskerville" w:cs="Libre Baskerville" w:eastAsia="Libre Baskerville" w:hAnsi="Libre Baskerville"/>
          <w:i/>
          <w:iCs/>
          <w:color w:val="555555"/>
          <w:sz w:val="20"/>
          <w:szCs w:val="20"/>
        </w:rPr>
        <w:t xml:space="preserve">Use this draft if you intend to keep tight founder control and want the charter to feel like a continuation of the FORA constitution rather than a separate corporate artifact. Less defensible in court than Draft II, but more memorable in public.</w:t>
      </w:r>
    </w:p>
    <w:p>
      <w:pPr>
        <w:spacing w:after="0" w:before="480"/>
      </w:pPr>
      <w:r>
        <w:rPr>
          <w:rFonts w:ascii="Cinzel" w:cs="Cinzel" w:eastAsia="Cinzel" w:hAnsi="Cinzel"/>
          <w:b/>
          <w:bCs/>
          <w:color w:val="0F2845"/>
          <w:sz w:val="22"/>
          <w:szCs w:val="22"/>
        </w:rPr>
        <w:t xml:space="preserve">COMPARISON AT A GLANCE</w:t>
      </w:r>
    </w:p>
    <w:p>
      <w:pPr>
        <w:pBdr>
          <w:bottom w:val="single" w:color="9C7A3F" w:sz="6" w:space="1"/>
        </w:pBdr>
        <w:spacing w:after="240" w:before="60"/>
      </w:pPr>
      <w:r>
        <w:t xml:space="preserve"/>
      </w:r>
    </w:p>
    <w:p>
      <w:pPr>
        <w:spacing w:after="160" w:before="0"/>
        <w:jc w:val="left"/>
      </w:pPr>
      <w:r>
        <w:rPr>
          <w:rFonts w:ascii="Libre Baskerville" w:cs="Libre Baskerville" w:eastAsia="Libre Baskerville" w:hAnsi="Libre Baskerville"/>
          <w:i w:val="false"/>
          <w:iCs w:val="false"/>
          <w:color w:val="1A1A1A"/>
          <w:sz w:val="22"/>
          <w:szCs w:val="22"/>
        </w:rPr>
        <w:t xml:space="preserve">Held against the five non-negotiables you've already committed to in writing across the FORA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B8B8B8" w:sz="4"/>
              <w:left w:val="single" w:color="B8B8B8" w:sz="4"/>
              <w:bottom w:val="single" w:color="B8B8B8" w:sz="4"/>
              <w:right w:val="single" w:color="B8B8B8" w:sz="4"/>
            </w:tcBorders>
            <w:shd w:fill="0F2845" w:val="clear"/>
            <w:tcMar>
              <w:top w:type="dxa" w:w="100"/>
              <w:left w:type="dxa" w:w="140"/>
              <w:bottom w:type="dxa" w:w="100"/>
              <w:right w:type="dxa" w:w="140"/>
            </w:tcMar>
          </w:tcPr>
          <w:p>
            <w:r>
              <w:rPr>
                <w:rFonts w:ascii="JetBrains Mono" w:cs="JetBrains Mono" w:eastAsia="JetBrains Mono" w:hAnsi="JetBrains Mono"/>
                <w:b/>
                <w:bCs/>
                <w:color w:val="FFFFFF"/>
                <w:spacing w:val="60"/>
                <w:sz w:val="18"/>
                <w:szCs w:val="18"/>
              </w:rPr>
              <w:t xml:space="preserve">COMMITMENT</w:t>
            </w:r>
          </w:p>
        </w:tc>
        <w:tc>
          <w:tcPr>
            <w:tcW w:type="dxa" w:w="2000"/>
            <w:tcBorders>
              <w:top w:val="single" w:color="B8B8B8" w:sz="4"/>
              <w:left w:val="single" w:color="B8B8B8" w:sz="4"/>
              <w:bottom w:val="single" w:color="B8B8B8" w:sz="4"/>
              <w:right w:val="single" w:color="B8B8B8" w:sz="4"/>
            </w:tcBorders>
            <w:shd w:fill="0F2845" w:val="clear"/>
            <w:tcMar>
              <w:top w:type="dxa" w:w="100"/>
              <w:left w:type="dxa" w:w="140"/>
              <w:bottom w:type="dxa" w:w="100"/>
              <w:right w:type="dxa" w:w="140"/>
            </w:tcMar>
          </w:tcPr>
          <w:p>
            <w:r>
              <w:rPr>
                <w:rFonts w:ascii="JetBrains Mono" w:cs="JetBrains Mono" w:eastAsia="JetBrains Mono" w:hAnsi="JetBrains Mono"/>
                <w:b/>
                <w:bCs/>
                <w:color w:val="FFFFFF"/>
                <w:spacing w:val="60"/>
                <w:sz w:val="18"/>
                <w:szCs w:val="18"/>
              </w:rPr>
              <w:t xml:space="preserve">DRAFT I</w:t>
            </w:r>
          </w:p>
        </w:tc>
        <w:tc>
          <w:tcPr>
            <w:tcW w:type="dxa" w:w="2000"/>
            <w:tcBorders>
              <w:top w:val="single" w:color="B8B8B8" w:sz="4"/>
              <w:left w:val="single" w:color="B8B8B8" w:sz="4"/>
              <w:bottom w:val="single" w:color="B8B8B8" w:sz="4"/>
              <w:right w:val="single" w:color="B8B8B8" w:sz="4"/>
            </w:tcBorders>
            <w:shd w:fill="0F2845" w:val="clear"/>
            <w:tcMar>
              <w:top w:type="dxa" w:w="100"/>
              <w:left w:type="dxa" w:w="140"/>
              <w:bottom w:type="dxa" w:w="100"/>
              <w:right w:type="dxa" w:w="140"/>
            </w:tcMar>
          </w:tcPr>
          <w:p>
            <w:r>
              <w:rPr>
                <w:rFonts w:ascii="JetBrains Mono" w:cs="JetBrains Mono" w:eastAsia="JetBrains Mono" w:hAnsi="JetBrains Mono"/>
                <w:b/>
                <w:bCs/>
                <w:color w:val="FFFFFF"/>
                <w:spacing w:val="60"/>
                <w:sz w:val="18"/>
                <w:szCs w:val="18"/>
              </w:rPr>
              <w:t xml:space="preserve">DRAFT II</w:t>
            </w:r>
          </w:p>
        </w:tc>
        <w:tc>
          <w:tcPr>
            <w:tcW w:type="dxa" w:w="2000"/>
            <w:tcBorders>
              <w:top w:val="single" w:color="B8B8B8" w:sz="4"/>
              <w:left w:val="single" w:color="B8B8B8" w:sz="4"/>
              <w:bottom w:val="single" w:color="B8B8B8" w:sz="4"/>
              <w:right w:val="single" w:color="B8B8B8" w:sz="4"/>
            </w:tcBorders>
            <w:shd w:fill="0F2845" w:val="clear"/>
            <w:tcMar>
              <w:top w:type="dxa" w:w="100"/>
              <w:left w:type="dxa" w:w="140"/>
              <w:bottom w:type="dxa" w:w="100"/>
              <w:right w:type="dxa" w:w="140"/>
            </w:tcMar>
          </w:tcPr>
          <w:p>
            <w:r>
              <w:rPr>
                <w:rFonts w:ascii="JetBrains Mono" w:cs="JetBrains Mono" w:eastAsia="JetBrains Mono" w:hAnsi="JetBrains Mono"/>
                <w:b/>
                <w:bCs/>
                <w:color w:val="FFFFFF"/>
                <w:spacing w:val="60"/>
                <w:sz w:val="18"/>
                <w:szCs w:val="18"/>
              </w:rPr>
              <w:t xml:space="preserve">DRAFT III</w:t>
            </w:r>
          </w:p>
        </w:tc>
      </w:tr>
      <w:tr>
        <w:tc>
          <w:tcPr>
            <w:tcW w:type="dxa" w:w="336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Libre Baskerville" w:cs="Libre Baskerville" w:eastAsia="Libre Baskerville" w:hAnsi="Libre Baskerville"/>
                <w:b/>
                <w:bCs/>
                <w:color w:val="0F2845"/>
                <w:sz w:val="20"/>
                <w:szCs w:val="20"/>
              </w:rPr>
              <w:t xml:space="preserve">Perpetual free Governance</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explicit</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explicit, ranked highest</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explicit</w:t>
            </w:r>
          </w:p>
        </w:tc>
      </w:tr>
      <w:tr>
        <w:tc>
          <w:tcPr>
            <w:tcW w:type="dxa" w:w="336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Libre Baskerville" w:cs="Libre Baskerville" w:eastAsia="Libre Baskerville" w:hAnsi="Libre Baskerville"/>
                <w:b/>
                <w:bCs/>
                <w:color w:val="0F2845"/>
                <w:sz w:val="20"/>
                <w:szCs w:val="20"/>
              </w:rPr>
              <w:t xml:space="preserve">Equal access (no premium tiers)</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implicit</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named</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named</w:t>
            </w:r>
          </w:p>
        </w:tc>
      </w:tr>
      <w:tr>
        <w:tc>
          <w:tcPr>
            <w:tcW w:type="dxa" w:w="336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Libre Baskerville" w:cs="Libre Baskerville" w:eastAsia="Libre Baskerville" w:hAnsi="Libre Baskerville"/>
                <w:b/>
                <w:bCs/>
                <w:color w:val="0F2845"/>
                <w:sz w:val="20"/>
                <w:szCs w:val="20"/>
              </w:rPr>
              <w:t xml:space="preserve">No-faces-first / ideas over identity</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named</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named</w:t>
            </w:r>
          </w:p>
        </w:tc>
      </w:tr>
      <w:tr>
        <w:tc>
          <w:tcPr>
            <w:tcW w:type="dxa" w:w="336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Libre Baskerville" w:cs="Libre Baskerville" w:eastAsia="Libre Baskerville" w:hAnsi="Libre Baskerville"/>
                <w:b/>
                <w:bCs/>
                <w:color w:val="0F2845"/>
                <w:sz w:val="20"/>
                <w:szCs w:val="20"/>
              </w:rPr>
              <w:t xml:space="preserve">Full transparency of mechanisms</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named</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named</w:t>
            </w:r>
          </w:p>
        </w:tc>
      </w:tr>
      <w:tr>
        <w:tc>
          <w:tcPr>
            <w:tcW w:type="dxa" w:w="336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Libre Baskerville" w:cs="Libre Baskerville" w:eastAsia="Libre Baskerville" w:hAnsi="Libre Baskerville"/>
                <w:b/>
                <w:bCs/>
                <w:color w:val="0F2845"/>
                <w:sz w:val="20"/>
                <w:szCs w:val="20"/>
              </w:rPr>
              <w:t xml:space="preserve">Commerce funds the rest</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implicit</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explicit</w:t>
            </w:r>
          </w:p>
        </w:tc>
      </w:tr>
      <w:tr>
        <w:tc>
          <w:tcPr>
            <w:tcW w:type="dxa" w:w="336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Libre Baskerville" w:cs="Libre Baskerville" w:eastAsia="Libre Baskerville" w:hAnsi="Libre Baskerville"/>
                <w:b/>
                <w:bCs/>
                <w:color w:val="0F2845"/>
                <w:sz w:val="20"/>
                <w:szCs w:val="20"/>
              </w:rPr>
              <w:t xml:space="preserve">Founder's voice preserved</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w:t>
            </w:r>
          </w:p>
        </w:tc>
      </w:tr>
      <w:tr>
        <w:tc>
          <w:tcPr>
            <w:tcW w:type="dxa" w:w="336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Libre Baskerville" w:cs="Libre Baskerville" w:eastAsia="Libre Baskerville" w:hAnsi="Libre Baskerville"/>
                <w:b/>
                <w:bCs/>
                <w:color w:val="0F2845"/>
                <w:sz w:val="20"/>
                <w:szCs w:val="20"/>
              </w:rPr>
              <w:t xml:space="preserve">Defensible in Delaware court</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strongest</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strong</w:t>
            </w:r>
          </w:p>
        </w:tc>
        <w:tc>
          <w:tcPr>
            <w:tcW w:type="dxa" w:w="2000"/>
            <w:tcBorders>
              <w:top w:val="single" w:color="B8B8B8" w:sz="4"/>
              <w:left w:val="single" w:color="B8B8B8" w:sz="4"/>
              <w:bottom w:val="single" w:color="B8B8B8" w:sz="4"/>
              <w:right w:val="single" w:color="B8B8B8" w:sz="4"/>
            </w:tcBorders>
            <w:shd w:fill="F8F6F2" w:val="clear"/>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 moderate</w:t>
            </w:r>
          </w:p>
        </w:tc>
      </w:tr>
      <w:tr>
        <w:tc>
          <w:tcPr>
            <w:tcW w:type="dxa" w:w="336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Libre Baskerville" w:cs="Libre Baskerville" w:eastAsia="Libre Baskerville" w:hAnsi="Libre Baskerville"/>
                <w:b/>
                <w:bCs/>
                <w:color w:val="0F2845"/>
                <w:sz w:val="20"/>
                <w:szCs w:val="20"/>
              </w:rPr>
              <w:t xml:space="preserve">Length (words)</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~90</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~280</w:t>
            </w:r>
          </w:p>
        </w:tc>
        <w:tc>
          <w:tcPr>
            <w:tcW w:type="dxa" w:w="2000"/>
            <w:tcBorders>
              <w:top w:val="single" w:color="B8B8B8" w:sz="4"/>
              <w:left w:val="single" w:color="B8B8B8" w:sz="4"/>
              <w:bottom w:val="single" w:color="B8B8B8" w:sz="4"/>
              <w:right w:val="single" w:color="B8B8B8" w:sz="4"/>
            </w:tcBorders>
            <w:tcMar>
              <w:top w:type="dxa" w:w="80"/>
              <w:left w:type="dxa" w:w="140"/>
              <w:bottom w:type="dxa" w:w="80"/>
              <w:right w:type="dxa" w:w="140"/>
            </w:tcMar>
          </w:tcPr>
          <w:p>
            <w:r>
              <w:rPr>
                <w:rFonts w:ascii="JetBrains Mono" w:cs="JetBrains Mono" w:eastAsia="JetBrains Mono" w:hAnsi="JetBrains Mono"/>
                <w:b w:val="false"/>
                <w:bCs w:val="false"/>
                <w:color w:val="1A1A1A"/>
                <w:sz w:val="20"/>
                <w:szCs w:val="20"/>
              </w:rPr>
              <w:t xml:space="preserve">~220</w:t>
            </w:r>
          </w:p>
        </w:tc>
      </w:tr>
    </w:tbl>
    <w:p>
      <w:pPr>
        <w:spacing w:after="0" w:before="240"/>
      </w:pPr>
      <w:r>
        <w:t xml:space="preserve"/>
      </w:r>
    </w:p>
    <w:p>
      <w:pPr>
        <w:spacing w:after="0" w:before="480"/>
      </w:pPr>
      <w:r>
        <w:rPr>
          <w:rFonts w:ascii="Cinzel" w:cs="Cinzel" w:eastAsia="Cinzel" w:hAnsi="Cinzel"/>
          <w:b/>
          <w:bCs/>
          <w:color w:val="0F2845"/>
          <w:sz w:val="22"/>
          <w:szCs w:val="22"/>
        </w:rPr>
        <w:t xml:space="preserve">RECOMMENDATION</w:t>
      </w:r>
    </w:p>
    <w:p>
      <w:pPr>
        <w:pBdr>
          <w:bottom w:val="single" w:color="9C7A3F" w:sz="6" w:space="1"/>
        </w:pBdr>
        <w:spacing w:after="240" w:before="60"/>
      </w:pPr>
      <w:r>
        <w:t xml:space="preserve"/>
      </w:r>
    </w:p>
    <w:p>
      <w:pPr>
        <w:spacing w:after="160" w:before="0"/>
        <w:jc w:val="left"/>
      </w:pPr>
      <w:r>
        <w:rPr>
          <w:rFonts w:ascii="Libre Baskerville" w:cs="Libre Baskerville" w:eastAsia="Libre Baskerville" w:hAnsi="Libre Baskerville"/>
          <w:i w:val="false"/>
          <w:iCs w:val="false"/>
          <w:color w:val="1A1A1A"/>
          <w:sz w:val="22"/>
          <w:szCs w:val="22"/>
        </w:rPr>
        <w:t xml:space="preserve">File Draft II. It is the version that does the most work to protect FORA from itself in twenty or fifty years, when you are no longer the one making decisions. Draft III is more beautiful and Draft I is more defensible, but Draft II is the one that holds when both founder voice and legal precision matter.</w:t>
      </w:r>
    </w:p>
    <w:p>
      <w:pPr>
        <w:spacing w:after="160" w:before="0"/>
        <w:jc w:val="left"/>
      </w:pPr>
      <w:r>
        <w:rPr>
          <w:rFonts w:ascii="Libre Baskerville" w:cs="Libre Baskerville" w:eastAsia="Libre Baskerville" w:hAnsi="Libre Baskerville"/>
          <w:i w:val="false"/>
          <w:iCs w:val="false"/>
          <w:color w:val="1A1A1A"/>
          <w:sz w:val="22"/>
          <w:szCs w:val="22"/>
        </w:rPr>
        <w:t xml:space="preserve">Then, in the Foundation's bylaws and in the public-facing FORA constitution on the platform, use Draft III's language. The charter is the law; the constitution is the voice. They can say the same thing in two registers.</w:t>
      </w:r>
    </w:p>
    <w:p>
      <w:pPr>
        <w:spacing w:after="160" w:before="0"/>
        <w:jc w:val="left"/>
      </w:pPr>
      <w:r>
        <w:rPr>
          <w:rFonts w:ascii="Libre Baskerville" w:cs="Libre Baskerville" w:eastAsia="Libre Baskerville" w:hAnsi="Libre Baskerville"/>
          <w:i w:val="false"/>
          <w:iCs w:val="false"/>
          <w:color w:val="1A1A1A"/>
          <w:sz w:val="22"/>
          <w:szCs w:val="22"/>
        </w:rPr>
        <w:t xml:space="preserve">Take Draft II to a real Delaware PBC attorney before filing. The names to ask: Adler &amp; Colvin, Hurwit &amp; Associates, Perlman &amp; Perlman, or the public-benefit corporation practice at Cooley or Wilson Sonsini. Get a fixed-fee quote — should be in the $5–10K range for charter drafting plus filing, separate from the broader entity-formation work.</w:t>
      </w:r>
    </w:p>
    <w:p>
      <w:pPr>
        <w:spacing w:after="160" w:before="0"/>
        <w:jc w:val="left"/>
      </w:pPr>
      <w:r>
        <w:rPr>
          <w:rFonts w:ascii="Libre Baskerville" w:cs="Libre Baskerville" w:eastAsia="Libre Baskerville" w:hAnsi="Libre Baskerville"/>
          <w:i/>
          <w:iCs/>
          <w:color w:val="1A1A1A"/>
          <w:sz w:val="22"/>
          <w:szCs w:val="22"/>
        </w:rPr>
        <w:t xml:space="preserve">And before you sign anything: read whichever draft you choose aloud, in your own voice, to someone you trust. The charter is meant to be spoken. If it doesn't survive being said out loud, it won't survive being defended.</w:t>
      </w:r>
    </w:p>
    <w:p>
      <w:pPr>
        <w:pBdr>
          <w:top w:val="single" w:color="9C7A3F" w:sz="6" w:space="12"/>
        </w:pBdr>
        <w:spacing w:after="0" w:before="600"/>
      </w:pPr>
      <w:r>
        <w:t xml:space="preserve"/>
      </w:r>
    </w:p>
    <w:p>
      <w:pPr>
        <w:spacing w:after="80" w:before="240"/>
        <w:jc w:val="center"/>
      </w:pPr>
      <w:r>
        <w:rPr>
          <w:rFonts w:ascii="Cinzel" w:cs="Cinzel" w:eastAsia="Cinzel" w:hAnsi="Cinzel"/>
          <w:b/>
          <w:bCs/>
          <w:color w:val="0F2845"/>
          <w:spacing w:val="100"/>
          <w:sz w:val="18"/>
          <w:szCs w:val="18"/>
        </w:rPr>
        <w:t xml:space="preserve">FORA · Forum Americanum</w:t>
      </w:r>
    </w:p>
    <w:p>
      <w:pPr>
        <w:spacing w:after="0" w:before="0"/>
        <w:jc w:val="center"/>
      </w:pPr>
      <w:r>
        <w:rPr>
          <w:rFonts w:ascii="JetBrains Mono" w:cs="JetBrains Mono" w:eastAsia="JetBrains Mono" w:hAnsi="JetBrains Mono"/>
          <w:color w:val="555555"/>
          <w:sz w:val="16"/>
          <w:szCs w:val="16"/>
        </w:rPr>
        <w:t xml:space="preserve">Charter Mission Drafts · Confidential · Pre-Filing</w:t>
      </w:r>
    </w:p>
    <w:p>
      <w:pPr>
        <w:spacing w:after="0" w:before="80"/>
        <w:jc w:val="center"/>
      </w:pPr>
      <w:r>
        <w:rPr>
          <w:rFonts w:ascii="JetBrains Mono" w:cs="JetBrains Mono" w:eastAsia="JetBrains Mono" w:hAnsi="JetBrains Mono"/>
          <w:i/>
          <w:iCs/>
          <w:color w:val="555555"/>
          <w:sz w:val="16"/>
          <w:szCs w:val="16"/>
        </w:rPr>
        <w:t xml:space="preserve">May 2026 · Bowie, Maryland</w:t>
      </w:r>
    </w:p>
    <w:sectPr>
      <w:headerReference w:type="default" r:id="rId7"/>
      <w:footerReference w:type="default" r:id="rId8"/>
      <w:pgSz w:w="12240" w:h="15840" w:orient="portrait"/>
      <w:pgMar w:top="1620" w:right="1440" w:bottom="16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JetBrains Mono" w:cs="JetBrains Mono" w:eastAsia="JetBrains Mono" w:hAnsi="JetBrains Mono"/>
        <w:color w:val="9C7A3F"/>
        <w:sz w:val="16"/>
        <w:szCs w:val="16"/>
      </w:rPr>
      <w:t xml:space="preserve">— </w:t>
    </w:r>
    <w:r>
      <w:rPr>
        <w:rFonts w:ascii="JetBrains Mono" w:cs="JetBrains Mono" w:eastAsia="JetBrains Mono" w:hAnsi="JetBrains Mono"/>
        <w:b/>
        <w:bCs/>
        <w:color w:val="0F2845"/>
        <w:sz w:val="16"/>
        <w:szCs w:val="16"/>
      </w:rPr>
      <w:fldChar w:fldCharType="begin"/>
      <w:instrText xml:space="preserve">PAGE</w:instrText>
      <w:fldChar w:fldCharType="separate"/>
      <w:fldChar w:fldCharType="end"/>
    </w:r>
    <w:r>
      <w:rPr>
        <w:rFonts w:ascii="JetBrains Mono" w:cs="JetBrains Mono" w:eastAsia="JetBrains Mono" w:hAnsi="JetBrains Mono"/>
        <w:color w:val="9C7A3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JetBrains Mono" w:cs="JetBrains Mono" w:eastAsia="JetBrains Mono" w:hAnsi="JetBrains Mono"/>
        <w:color w:val="555555"/>
        <w:spacing w:val="60"/>
        <w:sz w:val="14"/>
        <w:szCs w:val="14"/>
      </w:rPr>
      <w:t xml:space="preserve">FORA · CHARTER MISSION DRAFTS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FORA Charter Mission Drafts</dc:title>
  <dc:creator>FORA</dc:creator>
  <dc:description>Three drafts of the public benefit purpose for FORA, PBC</dc:description>
  <cp:lastModifiedBy>Un-named</cp:lastModifiedBy>
  <cp:revision>1</cp:revision>
  <dcterms:created xsi:type="dcterms:W3CDTF">2026-05-05T23:45:32.883Z</dcterms:created>
  <dcterms:modified xsi:type="dcterms:W3CDTF">2026-05-05T23:45:32.904Z</dcterms:modified>
</cp:coreProperties>
</file>

<file path=docProps/custom.xml><?xml version="1.0" encoding="utf-8"?>
<Properties xmlns="http://schemas.openxmlformats.org/officeDocument/2006/custom-properties" xmlns:vt="http://schemas.openxmlformats.org/officeDocument/2006/docPropsVTypes"/>
</file>