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80"/>
      </w:pPr>
      <w:r>
        <w:rPr>
          <w:b/>
          <w:color w:val="066AAB"/>
          <w:sz w:val="48"/>
        </w:rPr>
        <w:t>Sales-Planning → EMET CRM</w:t>
      </w:r>
    </w:p>
    <w:p>
      <w:pPr>
        <w:spacing w:before="280" w:after="120"/>
      </w:pPr>
      <w:r>
        <w:rPr>
          <w:b/>
          <w:color w:val="081E2D"/>
          <w:sz w:val="32"/>
        </w:rPr>
        <w:t>Опис проекту розширення</w:t>
      </w:r>
    </w:p>
    <w:p>
      <w:r>
        <w:rPr>
          <w:b/>
          <w:i w:val="0"/>
        </w:rPr>
        <w:t>Версія:</w:t>
      </w:r>
      <w:r>
        <w:rPr>
          <w:b w:val="0"/>
          <w:i w:val="0"/>
        </w:rPr>
        <w:t xml:space="preserve"> 8.0 · </w:t>
      </w:r>
      <w:r>
        <w:rPr>
          <w:b/>
          <w:i w:val="0"/>
        </w:rPr>
        <w:t>Дата:</w:t>
      </w:r>
      <w:r>
        <w:rPr>
          <w:b w:val="0"/>
          <w:i w:val="0"/>
        </w:rPr>
        <w:t xml:space="preserve"> 2026-06-02</w:t>
      </w:r>
    </w:p>
    <w:p>
      <w:r>
        <w:rPr>
          <w:b/>
          <w:i w:val="0"/>
        </w:rPr>
        <w:t>Підготувала:</w:t>
      </w:r>
      <w:r>
        <w:rPr>
          <w:b w:val="0"/>
          <w:i w:val="0"/>
        </w:rPr>
        <w:t xml:space="preserve"> IT Director EMET</w:t>
      </w:r>
    </w:p>
    <w:p>
      <w:pPr>
        <w:spacing w:before="80" w:after="80"/>
        <w:pBdr>
          <w:bottom w:val="single" w:sz="6" w:color="066AAB"/>
        </w:pBdr>
      </w:pPr>
    </w:p>
    <w:p>
      <w:pPr>
        <w:spacing w:before="280" w:after="120"/>
      </w:pPr>
      <w:r>
        <w:rPr>
          <w:b/>
          <w:color w:val="081E2D"/>
          <w:sz w:val="32"/>
        </w:rPr>
        <w:t>1. Для кого і навіщо</w:t>
      </w:r>
    </w:p>
    <w:p>
      <w:r>
        <w:rPr>
          <w:b/>
          <w:i w:val="0"/>
        </w:rPr>
        <w:t>Користувачі:</w:t>
      </w:r>
      <w:r>
        <w:rPr>
          <w:b w:val="0"/>
          <w:i w:val="0"/>
        </w:rPr>
        <w:t xml:space="preserve"> менеджери відділу продажу + керівництво відділу.</w:t>
      </w:r>
    </w:p>
    <w:p>
      <w:r>
        <w:rPr>
          <w:b/>
          <w:i w:val="0"/>
        </w:rPr>
        <w:t>Навіщо:</w:t>
      </w:r>
      <w:r>
        <w:rPr>
          <w:b w:val="0"/>
          <w:i w:val="0"/>
        </w:rPr>
        <w:t xml:space="preserve"> винести щоденну роботу менеджера з 1С у мобільну CRM, щоб працювати з телефона у полі. 1С залишається базою даних.</w:t>
      </w:r>
    </w:p>
    <w:p>
      <w:r>
        <w:rPr>
          <w:b w:val="0"/>
          <w:i w:val="0"/>
        </w:rPr>
        <w:t xml:space="preserve">Це </w:t>
      </w:r>
      <w:r>
        <w:rPr>
          <w:b/>
          <w:i w:val="0"/>
        </w:rPr>
        <w:t>стратегічна зміна інструменту</w:t>
      </w:r>
      <w:r>
        <w:rPr>
          <w:b w:val="0"/>
          <w:i w:val="0"/>
        </w:rPr>
        <w:t xml:space="preserve"> відділу продажу — не точкове покращення. Поточна система перетворюється з модуля планування у повноцінну CRM, яка покриває весь робочий день менеджера від зустрічі до замовлення і рекламації.</w:t>
      </w:r>
    </w:p>
    <w:p>
      <w:pPr>
        <w:spacing w:before="80" w:after="80"/>
        <w:pBdr>
          <w:bottom w:val="single" w:sz="6" w:color="066AAB"/>
        </w:pBdr>
      </w:pPr>
    </w:p>
    <w:p>
      <w:pPr>
        <w:spacing w:before="280" w:after="120"/>
      </w:pPr>
      <w:r>
        <w:rPr>
          <w:b/>
          <w:color w:val="081E2D"/>
          <w:sz w:val="32"/>
        </w:rPr>
        <w:t>2. Що працює зараз технічно</w:t>
      </w:r>
    </w:p>
    <w:p>
      <w:pPr>
        <w:spacing w:before="200" w:after="80"/>
      </w:pPr>
      <w:r>
        <w:rPr>
          <w:b/>
          <w:color w:val="334155"/>
          <w:sz w:val="26"/>
        </w:rPr>
        <w:t>Поточні модулі у експлуатації з травня 2026</w:t>
      </w:r>
    </w:p>
    <w:tbl>
      <w:tblPr>
        <w:tblW w:type="auto" w:w="0"/>
        <w:jc w:val="center"/>
        <w:tblLook w:firstColumn="1" w:firstRow="1" w:lastColumn="0" w:lastRow="0" w:noHBand="0" w:noVBand="1" w:val="04A0"/>
      </w:tblPr>
      <w:tblGrid>
        <w:gridCol w:w="3213"/>
        <w:gridCol w:w="3213"/>
        <w:gridCol w:w="3213"/>
      </w:tblGrid>
      <w:tr>
        <w:tc>
          <w:tcPr>
            <w:tcW w:type="dxa" w:w="3213"/>
            <w:vAlign w:val="center"/>
            <w:shd w:val="clear" w:color="auto" w:fill="066AAB"/>
            <w:tcBorders>
              <w:top w:val="single" w:sz="4" w:color="054D80"/>
              <w:left w:val="single" w:sz="4" w:color="054D80"/>
              <w:bottom w:val="single" w:sz="4" w:color="054D80"/>
              <w:right w:val="single" w:sz="4" w:color="054D80"/>
            </w:tcBorders>
          </w:tcPr>
          <w:p>
            <w:pPr>
              <w:spacing w:before="40" w:after="40"/>
            </w:pPr>
            <w:r>
              <w:rPr>
                <w:b/>
                <w:color w:val="FFFFFF"/>
                <w:sz w:val="20"/>
              </w:rPr>
              <w:t>Модуль</w:t>
            </w:r>
          </w:p>
        </w:tc>
        <w:tc>
          <w:tcPr>
            <w:tcW w:type="dxa" w:w="3213"/>
            <w:vAlign w:val="center"/>
            <w:shd w:val="clear" w:color="auto" w:fill="066AAB"/>
            <w:tcBorders>
              <w:top w:val="single" w:sz="4" w:color="054D80"/>
              <w:left w:val="single" w:sz="4" w:color="054D80"/>
              <w:bottom w:val="single" w:sz="4" w:color="054D80"/>
              <w:right w:val="single" w:sz="4" w:color="054D80"/>
            </w:tcBorders>
          </w:tcPr>
          <w:p>
            <w:pPr>
              <w:spacing w:before="40" w:after="40"/>
            </w:pPr>
            <w:r>
              <w:rPr>
                <w:b/>
                <w:color w:val="FFFFFF"/>
                <w:sz w:val="20"/>
              </w:rPr>
              <w:t>Аудиторія</w:t>
            </w:r>
          </w:p>
        </w:tc>
        <w:tc>
          <w:tcPr>
            <w:tcW w:type="dxa" w:w="3213"/>
            <w:vAlign w:val="center"/>
            <w:shd w:val="clear" w:color="auto" w:fill="066AAB"/>
            <w:tcBorders>
              <w:top w:val="single" w:sz="4" w:color="054D80"/>
              <w:left w:val="single" w:sz="4" w:color="054D80"/>
              <w:bottom w:val="single" w:sz="4" w:color="054D80"/>
              <w:right w:val="single" w:sz="4" w:color="054D80"/>
            </w:tcBorders>
          </w:tcPr>
          <w:p>
            <w:pPr>
              <w:spacing w:before="40" w:after="40"/>
            </w:pPr>
            <w:r>
              <w:rPr>
                <w:b/>
                <w:color w:val="FFFFFF"/>
                <w:sz w:val="20"/>
              </w:rPr>
              <w:t>Технічне покриття</w:t>
            </w:r>
          </w:p>
        </w:tc>
      </w:tr>
      <w:tr>
        <w:tc>
          <w:tcPr>
            <w:tcW w:type="dxa" w:w="3213"/>
            <w:vAlign w:val="center"/>
            <w:tcBorders>
              <w:top w:val="single" w:sz="4" w:color="D5DAE0"/>
              <w:left w:val="single" w:sz="4" w:color="D5DAE0"/>
              <w:bottom w:val="single" w:sz="4" w:color="D5DAE0"/>
              <w:right w:val="single" w:sz="4" w:color="D5DAE0"/>
            </w:tcBorders>
          </w:tcPr>
          <w:p>
            <w:pPr>
              <w:spacing w:before="60" w:after="60"/>
            </w:pPr>
            <w:r>
              <w:rPr>
                <w:b w:val="0"/>
                <w:i w:val="0"/>
                <w:sz w:val="20"/>
              </w:rPr>
              <w:t>Планування продажів</w:t>
            </w:r>
          </w:p>
        </w:tc>
        <w:tc>
          <w:tcPr>
            <w:tcW w:type="dxa" w:w="3213"/>
            <w:vAlign w:val="center"/>
            <w:tcBorders>
              <w:top w:val="single" w:sz="4" w:color="D5DAE0"/>
              <w:left w:val="single" w:sz="4" w:color="D5DAE0"/>
              <w:bottom w:val="single" w:sz="4" w:color="D5DAE0"/>
              <w:right w:val="single" w:sz="4" w:color="D5DAE0"/>
            </w:tcBorders>
          </w:tcPr>
          <w:p>
            <w:pPr>
              <w:spacing w:before="60" w:after="60"/>
            </w:pPr>
            <w:r>
              <w:rPr>
                <w:b w:val="0"/>
                <w:i w:val="0"/>
                <w:sz w:val="20"/>
              </w:rPr>
              <w:t>Менеджери + керівництво</w:t>
            </w:r>
          </w:p>
        </w:tc>
        <w:tc>
          <w:tcPr>
            <w:tcW w:type="dxa" w:w="3213"/>
            <w:vAlign w:val="center"/>
            <w:tcBorders>
              <w:top w:val="single" w:sz="4" w:color="D5DAE0"/>
              <w:left w:val="single" w:sz="4" w:color="D5DAE0"/>
              <w:bottom w:val="single" w:sz="4" w:color="D5DAE0"/>
              <w:right w:val="single" w:sz="4" w:color="D5DAE0"/>
            </w:tcBorders>
          </w:tcPr>
          <w:p>
            <w:pPr>
              <w:spacing w:before="60" w:after="60"/>
            </w:pPr>
            <w:r>
              <w:rPr>
                <w:b w:val="0"/>
                <w:i w:val="0"/>
                <w:sz w:val="20"/>
              </w:rPr>
              <w:t>Місячне планування цілей по 9 ТМ з прив'язкою до клієнтів, finalize-механіка, window-lock періодів планування, історія планів</w:t>
            </w:r>
          </w:p>
        </w:tc>
      </w:tr>
      <w:tr>
        <w:tc>
          <w:tcPr>
            <w:tcW w:type="dxa" w:w="3213"/>
            <w:vAlign w:val="center"/>
            <w:tcBorders>
              <w:top w:val="single" w:sz="4" w:color="D5DAE0"/>
              <w:left w:val="single" w:sz="4" w:color="D5DAE0"/>
              <w:bottom w:val="single" w:sz="4" w:color="D5DAE0"/>
              <w:right w:val="single" w:sz="4" w:color="D5DAE0"/>
            </w:tcBorders>
            <w:shd w:val="clear" w:color="auto" w:fill="F8FAFC"/>
          </w:tcPr>
          <w:p>
            <w:pPr>
              <w:spacing w:before="60" w:after="60"/>
            </w:pPr>
            <w:r>
              <w:rPr>
                <w:b w:val="0"/>
                <w:i w:val="0"/>
                <w:sz w:val="20"/>
              </w:rPr>
              <w:t>Мої клієнти (CRM-база)</w:t>
            </w:r>
          </w:p>
        </w:tc>
        <w:tc>
          <w:tcPr>
            <w:tcW w:type="dxa" w:w="3213"/>
            <w:vAlign w:val="center"/>
            <w:tcBorders>
              <w:top w:val="single" w:sz="4" w:color="D5DAE0"/>
              <w:left w:val="single" w:sz="4" w:color="D5DAE0"/>
              <w:bottom w:val="single" w:sz="4" w:color="D5DAE0"/>
              <w:right w:val="single" w:sz="4" w:color="D5DAE0"/>
            </w:tcBorders>
            <w:shd w:val="clear" w:color="auto" w:fill="F8FAFC"/>
          </w:tcPr>
          <w:p>
            <w:pPr>
              <w:spacing w:before="60" w:after="60"/>
            </w:pPr>
            <w:r>
              <w:rPr>
                <w:b w:val="0"/>
                <w:i w:val="0"/>
                <w:sz w:val="20"/>
              </w:rPr>
              <w:t>Менеджери</w:t>
            </w:r>
          </w:p>
        </w:tc>
        <w:tc>
          <w:tcPr>
            <w:tcW w:type="dxa" w:w="3213"/>
            <w:vAlign w:val="center"/>
            <w:tcBorders>
              <w:top w:val="single" w:sz="4" w:color="D5DAE0"/>
              <w:left w:val="single" w:sz="4" w:color="D5DAE0"/>
              <w:bottom w:val="single" w:sz="4" w:color="D5DAE0"/>
              <w:right w:val="single" w:sz="4" w:color="D5DAE0"/>
            </w:tcBorders>
            <w:shd w:val="clear" w:color="auto" w:fill="F8FAFC"/>
          </w:tcPr>
          <w:p>
            <w:pPr>
              <w:spacing w:before="60" w:after="60"/>
            </w:pPr>
            <w:r>
              <w:rPr>
                <w:b w:val="0"/>
                <w:i w:val="0"/>
                <w:sz w:val="20"/>
              </w:rPr>
              <w:t>Клієнтська база з кешуванням, фільтрами і деталізацією, drill-down картка клієнта з історією зустрічей, статусом активності, прогнозами</w:t>
            </w:r>
          </w:p>
        </w:tc>
      </w:tr>
      <w:tr>
        <w:tc>
          <w:tcPr>
            <w:tcW w:type="dxa" w:w="3213"/>
            <w:vAlign w:val="center"/>
            <w:tcBorders>
              <w:top w:val="single" w:sz="4" w:color="D5DAE0"/>
              <w:left w:val="single" w:sz="4" w:color="D5DAE0"/>
              <w:bottom w:val="single" w:sz="4" w:color="D5DAE0"/>
              <w:right w:val="single" w:sz="4" w:color="D5DAE0"/>
            </w:tcBorders>
          </w:tcPr>
          <w:p>
            <w:pPr>
              <w:spacing w:before="60" w:after="60"/>
            </w:pPr>
            <w:r>
              <w:rPr>
                <w:b w:val="0"/>
                <w:i w:val="0"/>
                <w:sz w:val="20"/>
              </w:rPr>
              <w:t>Огляд компанії</w:t>
            </w:r>
          </w:p>
        </w:tc>
        <w:tc>
          <w:tcPr>
            <w:tcW w:type="dxa" w:w="3213"/>
            <w:vAlign w:val="center"/>
            <w:tcBorders>
              <w:top w:val="single" w:sz="4" w:color="D5DAE0"/>
              <w:left w:val="single" w:sz="4" w:color="D5DAE0"/>
              <w:bottom w:val="single" w:sz="4" w:color="D5DAE0"/>
              <w:right w:val="single" w:sz="4" w:color="D5DAE0"/>
            </w:tcBorders>
          </w:tcPr>
          <w:p>
            <w:pPr>
              <w:spacing w:before="60" w:after="60"/>
            </w:pPr>
            <w:r>
              <w:rPr>
                <w:b w:val="0"/>
                <w:i w:val="0"/>
                <w:sz w:val="20"/>
              </w:rPr>
              <w:t>Керівництво</w:t>
            </w:r>
          </w:p>
        </w:tc>
        <w:tc>
          <w:tcPr>
            <w:tcW w:type="dxa" w:w="3213"/>
            <w:vAlign w:val="center"/>
            <w:tcBorders>
              <w:top w:val="single" w:sz="4" w:color="D5DAE0"/>
              <w:left w:val="single" w:sz="4" w:color="D5DAE0"/>
              <w:bottom w:val="single" w:sz="4" w:color="D5DAE0"/>
              <w:right w:val="single" w:sz="4" w:color="D5DAE0"/>
            </w:tcBorders>
          </w:tcPr>
          <w:p>
            <w:pPr>
              <w:spacing w:before="60" w:after="60"/>
            </w:pPr>
            <w:r>
              <w:rPr>
                <w:b w:val="0"/>
                <w:i w:val="0"/>
                <w:sz w:val="20"/>
              </w:rPr>
              <w:t>Виконання плану по регіонах + по брендах, агрегати продажів, аналітика «відстають від плану», структура продажів</w:t>
            </w:r>
          </w:p>
        </w:tc>
      </w:tr>
    </w:tbl>
    <w:p>
      <w:pPr>
        <w:spacing w:after="80"/>
      </w:pPr>
    </w:p>
    <w:p>
      <w:pPr>
        <w:spacing w:before="200" w:after="80"/>
      </w:pPr>
      <w:r>
        <w:rPr>
          <w:b/>
          <w:color w:val="334155"/>
          <w:sz w:val="26"/>
        </w:rPr>
        <w:t>Технологічна основа поточної системи</w:t>
      </w:r>
    </w:p>
    <w:p>
      <w:r>
        <w:rPr>
          <w:b/>
          <w:i w:val="0"/>
        </w:rPr>
        <w:t>Технічно:</w:t>
      </w:r>
    </w:p>
    <w:p>
      <w:pPr>
        <w:pStyle w:val="ListBullet"/>
        <w:spacing w:after="40"/>
        <w:ind w:left="340"/>
      </w:pPr>
      <w:r>
        <w:rPr>
          <w:b w:val="0"/>
          <w:i w:val="0"/>
        </w:rPr>
        <w:t xml:space="preserve">Веб-фреймворк: </w:t>
      </w:r>
      <w:r>
        <w:rPr>
          <w:b/>
          <w:i w:val="0"/>
        </w:rPr>
        <w:t>Next.js 16</w:t>
      </w:r>
      <w:r>
        <w:rPr>
          <w:b w:val="0"/>
          <w:i w:val="0"/>
        </w:rPr>
        <w:t xml:space="preserve"> з App Router і React Server Components</w:t>
      </w:r>
    </w:p>
    <w:p>
      <w:pPr>
        <w:pStyle w:val="ListBullet"/>
        <w:spacing w:after="40"/>
        <w:ind w:left="340"/>
      </w:pPr>
      <w:r>
        <w:rPr>
          <w:b w:val="0"/>
          <w:i w:val="0"/>
        </w:rPr>
        <w:t xml:space="preserve">UI-бібліотека: </w:t>
      </w:r>
      <w:r>
        <w:rPr>
          <w:b/>
          <w:i w:val="0"/>
        </w:rPr>
        <w:t>React 19</w:t>
      </w:r>
      <w:r>
        <w:rPr>
          <w:b w:val="0"/>
          <w:i w:val="0"/>
        </w:rPr>
        <w:t xml:space="preserve"> + TypeScript 5 для типобезпеки</w:t>
      </w:r>
    </w:p>
    <w:p>
      <w:pPr>
        <w:pStyle w:val="ListBullet"/>
        <w:spacing w:after="40"/>
        <w:ind w:left="340"/>
      </w:pPr>
      <w:r>
        <w:rPr>
          <w:b w:val="0"/>
          <w:i w:val="0"/>
        </w:rPr>
        <w:t xml:space="preserve">Стилі і компоненти: </w:t>
      </w:r>
      <w:r>
        <w:rPr>
          <w:b/>
          <w:i w:val="0"/>
        </w:rPr>
        <w:t>Tailwind CSS 4</w:t>
      </w:r>
      <w:r>
        <w:rPr>
          <w:b w:val="0"/>
          <w:i w:val="0"/>
        </w:rPr>
        <w:t xml:space="preserve"> + </w:t>
      </w:r>
      <w:r>
        <w:rPr>
          <w:b/>
          <w:i w:val="0"/>
        </w:rPr>
        <w:t>shadcn/ui</w:t>
      </w:r>
      <w:r>
        <w:rPr>
          <w:b w:val="0"/>
          <w:i w:val="0"/>
        </w:rPr>
        <w:t xml:space="preserve"> (Radix-primitives)</w:t>
      </w:r>
    </w:p>
    <w:p>
      <w:pPr>
        <w:pStyle w:val="ListBullet"/>
        <w:spacing w:after="40"/>
        <w:ind w:left="340"/>
      </w:pPr>
      <w:r>
        <w:rPr>
          <w:b w:val="0"/>
          <w:i w:val="0"/>
        </w:rPr>
        <w:t xml:space="preserve">Стан і дані: </w:t>
      </w:r>
      <w:r>
        <w:rPr>
          <w:b/>
          <w:i w:val="0"/>
        </w:rPr>
        <w:t>Zustand</w:t>
      </w:r>
      <w:r>
        <w:rPr>
          <w:b w:val="0"/>
          <w:i w:val="0"/>
        </w:rPr>
        <w:t xml:space="preserve"> (глобальний store) + </w:t>
      </w:r>
      <w:r>
        <w:rPr>
          <w:b/>
          <w:i w:val="0"/>
        </w:rPr>
        <w:t>SWR</w:t>
      </w:r>
      <w:r>
        <w:rPr>
          <w:b w:val="0"/>
          <w:i w:val="0"/>
        </w:rPr>
        <w:t xml:space="preserve"> (cache + stale-while-revalidate)</w:t>
      </w:r>
    </w:p>
    <w:p>
      <w:pPr>
        <w:pStyle w:val="ListBullet"/>
        <w:spacing w:after="40"/>
        <w:ind w:left="340"/>
      </w:pPr>
      <w:r>
        <w:rPr>
          <w:b w:val="0"/>
          <w:i w:val="0"/>
        </w:rPr>
        <w:t xml:space="preserve">База даних: </w:t>
      </w:r>
      <w:r>
        <w:rPr>
          <w:b/>
          <w:i w:val="0"/>
        </w:rPr>
        <w:t>Supabase Postgres</w:t>
      </w:r>
      <w:r>
        <w:rPr>
          <w:b w:val="0"/>
          <w:i w:val="0"/>
        </w:rPr>
        <w:t xml:space="preserve"> з підготовленими RLS-політиками</w:t>
      </w:r>
    </w:p>
    <w:p>
      <w:pPr>
        <w:pStyle w:val="ListBullet"/>
        <w:spacing w:after="40"/>
        <w:ind w:left="340"/>
      </w:pPr>
      <w:r>
        <w:rPr>
          <w:b w:val="0"/>
          <w:i w:val="0"/>
        </w:rPr>
        <w:t xml:space="preserve">Авторизація: </w:t>
      </w:r>
      <w:r>
        <w:rPr>
          <w:b/>
          <w:i w:val="0"/>
        </w:rPr>
        <w:t>JWT cookies з ECDSA-підписами</w:t>
      </w:r>
      <w:r>
        <w:rPr>
          <w:b w:val="0"/>
          <w:i w:val="0"/>
        </w:rPr>
        <w:t xml:space="preserve"> (HttpOnly, secure)</w:t>
      </w:r>
    </w:p>
    <w:p>
      <w:pPr>
        <w:pStyle w:val="ListBullet"/>
        <w:spacing w:after="40"/>
        <w:ind w:left="340"/>
      </w:pPr>
      <w:r>
        <w:rPr>
          <w:b w:val="0"/>
          <w:i w:val="0"/>
        </w:rPr>
        <w:t xml:space="preserve">Хостинг: </w:t>
      </w:r>
      <w:r>
        <w:rPr>
          <w:b/>
          <w:i w:val="0"/>
        </w:rPr>
        <w:t>Vercel</w:t>
      </w:r>
      <w:r>
        <w:rPr>
          <w:b w:val="0"/>
          <w:i w:val="0"/>
        </w:rPr>
        <w:t xml:space="preserve"> з автоматичним розгортанням master + preview-середовища для feature-branches</w:t>
      </w:r>
    </w:p>
    <w:p>
      <w:pPr>
        <w:pStyle w:val="ListBullet"/>
        <w:spacing w:after="40"/>
        <w:ind w:left="340"/>
      </w:pPr>
      <w:r>
        <w:rPr>
          <w:b w:val="0"/>
          <w:i w:val="0"/>
        </w:rPr>
        <w:t xml:space="preserve">Інтеграція з 1С: </w:t>
      </w:r>
      <w:r>
        <w:rPr>
          <w:b/>
          <w:i w:val="0"/>
        </w:rPr>
        <w:t>13 HTTP-методів</w:t>
      </w:r>
      <w:r>
        <w:rPr>
          <w:b w:val="0"/>
          <w:i w:val="0"/>
        </w:rPr>
        <w:t xml:space="preserve"> через захищений proxy-шар </w:t>
      </w:r>
      <w:r>
        <w:rPr>
          <w:rFonts w:ascii="Consolas" w:hAnsi="Consolas"/>
          <w:b w:val="0"/>
          <w:i w:val="0"/>
          <w:color w:val="334155"/>
          <w:sz w:val="20"/>
        </w:rPr>
        <w:t>/api/onec</w:t>
      </w:r>
    </w:p>
    <w:p>
      <w:pPr>
        <w:pStyle w:val="ListBullet"/>
        <w:spacing w:after="40"/>
        <w:ind w:left="340"/>
      </w:pPr>
      <w:r>
        <w:rPr>
          <w:b w:val="0"/>
          <w:i w:val="0"/>
        </w:rPr>
        <w:t xml:space="preserve">Тестування: </w:t>
      </w:r>
      <w:r>
        <w:rPr>
          <w:b/>
          <w:i w:val="0"/>
        </w:rPr>
        <w:t>240 одиничних тестів</w:t>
      </w:r>
      <w:r>
        <w:rPr>
          <w:b w:val="0"/>
          <w:i w:val="0"/>
        </w:rPr>
        <w:t xml:space="preserve"> (Node-нативний test runner) + перевірка архітектурних інваріантів перед кожним оновленням</w:t>
      </w:r>
    </w:p>
    <w:p>
      <w:pPr>
        <w:pStyle w:val="ListBullet"/>
        <w:spacing w:after="40"/>
        <w:ind w:left="340"/>
      </w:pPr>
      <w:r>
        <w:rPr>
          <w:b w:val="0"/>
          <w:i w:val="0"/>
        </w:rPr>
        <w:t>Шрифти: Plus Jakarta Sans (текст) + JetBrains Mono (числа і час)</w:t>
      </w:r>
    </w:p>
    <w:p>
      <w:r>
        <w:rPr>
          <w:b/>
          <w:i w:val="0"/>
        </w:rPr>
        <w:t>Простою мовою:</w:t>
      </w:r>
    </w:p>
    <w:p>
      <w:r>
        <w:rPr>
          <w:b w:val="0"/>
          <w:i w:val="0"/>
        </w:rPr>
        <w:t>Система побудована на сучасному веб-стеку, що використовується більшістю продуктових компаній (Next.js + React). Працює як веб-додаток у браузері — без встановлення на пристрій, відкривається з телефона, планшета, ноутбука однаково. База даних розміщена у хмарі (Supabase), з резервним копіюванням і можливістю відкату до конкретного моменту у часі при переході на платний тариф. Авторизація захищена сучасними криптографічними підписами. Усі звернення до 1С проходять через захищений шар, який пропускає лише авторизовані запити. Кожне оновлення коду автоматично запускає 240 тестів + перевірку архітектурних правил перед тим, як код потрапляє у систему — це знижує ризик помилок при додаванні нових модулів.</w:t>
      </w:r>
    </w:p>
    <w:p>
      <w:pPr>
        <w:spacing w:before="200" w:after="80"/>
      </w:pPr>
      <w:r>
        <w:rPr>
          <w:b/>
          <w:color w:val="334155"/>
          <w:sz w:val="26"/>
        </w:rPr>
        <w:t>Зрілість проекту</w:t>
      </w:r>
    </w:p>
    <w:p>
      <w:pPr>
        <w:pStyle w:val="ListBullet"/>
        <w:spacing w:after="40"/>
        <w:ind w:left="340"/>
      </w:pPr>
      <w:r>
        <w:rPr>
          <w:b w:val="0"/>
          <w:i w:val="0"/>
        </w:rPr>
        <w:t>~57 000 рядків коду</w:t>
      </w:r>
    </w:p>
    <w:p>
      <w:pPr>
        <w:pStyle w:val="ListBullet"/>
        <w:spacing w:after="40"/>
        <w:ind w:left="340"/>
      </w:pPr>
      <w:r>
        <w:rPr>
          <w:b w:val="0"/>
          <w:i w:val="0"/>
        </w:rPr>
        <w:t>13 інтеграцій з 1С працюють стабільно з січня 2026</w:t>
      </w:r>
    </w:p>
    <w:p>
      <w:pPr>
        <w:pStyle w:val="ListBullet"/>
        <w:spacing w:after="40"/>
        <w:ind w:left="340"/>
      </w:pPr>
      <w:r>
        <w:rPr>
          <w:b w:val="0"/>
          <w:i w:val="0"/>
        </w:rPr>
        <w:t>Адаптивний мобільний інтерфейс протестовано</w:t>
      </w:r>
    </w:p>
    <w:p>
      <w:pPr>
        <w:pStyle w:val="ListBullet"/>
        <w:spacing w:after="40"/>
        <w:ind w:left="340"/>
      </w:pPr>
      <w:r>
        <w:rPr>
          <w:b w:val="0"/>
          <w:i w:val="0"/>
        </w:rPr>
        <w:t>Архітектурні правила фіксуються автоматично — не може бути додано нову залежність чи зламано існуючу інтеграцію без явного оновлення правил</w:t>
      </w:r>
    </w:p>
    <w:p>
      <w:pPr>
        <w:pStyle w:val="ListBullet"/>
        <w:spacing w:after="40"/>
        <w:ind w:left="340"/>
      </w:pPr>
      <w:r>
        <w:rPr>
          <w:b w:val="0"/>
          <w:i w:val="0"/>
        </w:rPr>
        <w:t>Bug-tracking через GitHub Issues, історія всіх змін у git</w:t>
      </w:r>
    </w:p>
    <w:p>
      <w:pPr>
        <w:spacing w:before="80" w:after="80"/>
        <w:pBdr>
          <w:bottom w:val="single" w:sz="6" w:color="066AAB"/>
        </w:pBdr>
      </w:pPr>
    </w:p>
    <w:p>
      <w:pPr>
        <w:spacing w:before="280" w:after="120"/>
      </w:pPr>
      <w:r>
        <w:rPr>
          <w:b/>
          <w:color w:val="081E2D"/>
          <w:sz w:val="32"/>
        </w:rPr>
        <w:t>3. Що додаємо у складі CRM-розширення</w:t>
      </w:r>
    </w:p>
    <w:p>
      <w:pPr>
        <w:spacing w:before="200" w:after="80"/>
      </w:pPr>
      <w:r>
        <w:rPr>
          <w:b/>
          <w:color w:val="334155"/>
          <w:sz w:val="26"/>
        </w:rPr>
        <w:t>Перенесення з існуючої СРМ Встречі</w:t>
      </w:r>
    </w:p>
    <w:p>
      <w:r>
        <w:rPr>
          <w:b/>
          <w:i w:val="0"/>
        </w:rPr>
        <w:t>Зустрічі</w:t>
      </w:r>
      <w:r>
        <w:rPr>
          <w:b w:val="0"/>
          <w:i w:val="0"/>
        </w:rPr>
        <w:t xml:space="preserve"> — функціонал зараз живе у окремому додатку (meeting-4.0). Переносимо у нашу CRM і об'єднуємо з рештою CRM-функціоналу. Покращуємо: стабільніша геолокація, мобільна форма створення і редагування, фонова синхронізація з 1С через буферну чергу, синхронізація з Google Calendar з механізмом повторних спроб.</w:t>
      </w:r>
    </w:p>
    <w:p>
      <w:pPr>
        <w:spacing w:before="200" w:after="80"/>
      </w:pPr>
      <w:r>
        <w:rPr>
          <w:b/>
          <w:color w:val="334155"/>
          <w:sz w:val="26"/>
        </w:rPr>
        <w:t>Нові модулі (розробляємо з нуля)</w:t>
      </w:r>
    </w:p>
    <w:p>
      <w:pPr>
        <w:pStyle w:val="ListBullet"/>
        <w:spacing w:after="40"/>
        <w:ind w:left="340"/>
      </w:pPr>
      <w:r>
        <w:rPr>
          <w:b/>
          <w:i w:val="0"/>
        </w:rPr>
        <w:t>Деталізація продажів</w:t>
      </w:r>
      <w:r>
        <w:rPr>
          <w:b w:val="0"/>
          <w:i w:val="0"/>
        </w:rPr>
        <w:t xml:space="preserve"> — рядкова історія покупок клієнта (з січня 2025) одним тапом на картці клієнта; для керівництва — автоматичні аналітичні віджети (виконання плану, найкращі менеджери по ТМ за конкурсом, дебіторка по регіонах)</w:t>
      </w:r>
    </w:p>
    <w:p>
      <w:pPr>
        <w:pStyle w:val="ListBullet"/>
        <w:spacing w:after="40"/>
        <w:ind w:left="340"/>
      </w:pPr>
      <w:r>
        <w:rPr>
          <w:b/>
          <w:i w:val="0"/>
        </w:rPr>
        <w:t>Дебіторка</w:t>
      </w:r>
      <w:r>
        <w:rPr>
          <w:b w:val="0"/>
          <w:i w:val="0"/>
        </w:rPr>
        <w:t xml:space="preserve"> — список і деталізація заборгованості клієнтів, віджет на картці з показниками простроку (30/60/90/90+ днів)</w:t>
      </w:r>
    </w:p>
    <w:p>
      <w:pPr>
        <w:pStyle w:val="ListBullet"/>
        <w:spacing w:after="40"/>
        <w:ind w:left="340"/>
      </w:pPr>
      <w:r>
        <w:rPr>
          <w:b/>
          <w:i w:val="0"/>
        </w:rPr>
        <w:t>Рекламації</w:t>
      </w:r>
      <w:r>
        <w:rPr>
          <w:b w:val="0"/>
          <w:i w:val="0"/>
        </w:rPr>
        <w:t xml:space="preserve"> — нова структурована секція CRM з прив'язкою до клієнта замість поточного загального Telegram-каналу. Поточна база рекламацій у Bitrix24 не ламається — додаємо інтерфейс над нею</w:t>
      </w:r>
    </w:p>
    <w:p>
      <w:pPr>
        <w:pStyle w:val="ListBullet"/>
        <w:spacing w:after="40"/>
        <w:ind w:left="340"/>
      </w:pPr>
      <w:r>
        <w:rPr>
          <w:b/>
          <w:i w:val="0"/>
        </w:rPr>
        <w:t>Замовлення / Реалізації</w:t>
      </w:r>
      <w:r>
        <w:rPr>
          <w:b w:val="0"/>
          <w:i w:val="0"/>
        </w:rPr>
        <w:t xml:space="preserve"> — створення з мобільного, з кошиком, вибором контракту, перевіркою наявності, gift-логікою, статусним workflow «чернетка → проведено → реалізація»</w:t>
      </w:r>
    </w:p>
    <w:p>
      <w:pPr>
        <w:spacing w:before="200" w:after="80"/>
      </w:pPr>
      <w:r>
        <w:rPr>
          <w:b/>
          <w:color w:val="334155"/>
          <w:sz w:val="26"/>
        </w:rPr>
        <w:t>Нові інтеграції і компоненти</w:t>
      </w:r>
    </w:p>
    <w:p>
      <w:pPr>
        <w:pStyle w:val="ListBullet"/>
        <w:spacing w:after="40"/>
        <w:ind w:left="340"/>
      </w:pPr>
      <w:r>
        <w:rPr>
          <w:b w:val="0"/>
          <w:i w:val="0"/>
        </w:rPr>
        <w:t>16 нових методів 1С (специфікація з прикладами запитів/відповідей готова)</w:t>
      </w:r>
    </w:p>
    <w:p>
      <w:pPr>
        <w:pStyle w:val="ListBullet"/>
        <w:spacing w:after="40"/>
        <w:ind w:left="340"/>
      </w:pPr>
      <w:r>
        <w:rPr>
          <w:b w:val="0"/>
          <w:i w:val="0"/>
        </w:rPr>
        <w:t>Окремий sync-worker для відправки даних у 1С батчами (буферна архітектура, щоб UI не очікував 1С)</w:t>
      </w:r>
    </w:p>
    <w:p>
      <w:pPr>
        <w:pStyle w:val="ListBullet"/>
        <w:spacing w:after="40"/>
        <w:ind w:left="340"/>
      </w:pPr>
      <w:r>
        <w:rPr>
          <w:b w:val="0"/>
          <w:i w:val="0"/>
        </w:rPr>
        <w:t>Окремий sync-worker для Google Calendar з retry + dead-letter queue</w:t>
      </w:r>
    </w:p>
    <w:p>
      <w:pPr>
        <w:pStyle w:val="ListBullet"/>
        <w:spacing w:after="40"/>
        <w:ind w:left="340"/>
      </w:pPr>
      <w:r>
        <w:rPr>
          <w:b w:val="0"/>
          <w:i w:val="0"/>
        </w:rPr>
        <w:t>Окремий sync-worker для нічної синхронізації деталізації продажів</w:t>
      </w:r>
    </w:p>
    <w:p>
      <w:pPr>
        <w:pStyle w:val="ListBullet"/>
        <w:spacing w:after="40"/>
        <w:ind w:left="340"/>
      </w:pPr>
      <w:r>
        <w:rPr>
          <w:b w:val="0"/>
          <w:i w:val="0"/>
        </w:rPr>
        <w:t>Інтеграційний шар з Bitrix24 для блоку рекламацій (через існуючий reclamation-app)</w:t>
      </w:r>
    </w:p>
    <w:p>
      <w:pPr>
        <w:pStyle w:val="ListBullet"/>
        <w:spacing w:after="40"/>
        <w:ind w:left="340"/>
      </w:pPr>
      <w:r>
        <w:rPr>
          <w:b w:val="0"/>
          <w:i w:val="0"/>
        </w:rPr>
        <w:t>Підключення Sentry для моніторингу помилок з session replay</w:t>
      </w:r>
    </w:p>
    <w:p>
      <w:pPr>
        <w:pStyle w:val="ListBullet"/>
        <w:spacing w:after="40"/>
        <w:ind w:left="340"/>
      </w:pPr>
      <w:r>
        <w:rPr>
          <w:b w:val="0"/>
          <w:i w:val="0"/>
        </w:rPr>
        <w:t>Перехід на Supabase Pro для PITR і збільшення ліміту бази</w:t>
      </w:r>
    </w:p>
    <w:p>
      <w:pPr>
        <w:spacing w:before="80" w:after="80"/>
        <w:pBdr>
          <w:bottom w:val="single" w:sz="6" w:color="066AAB"/>
        </w:pBdr>
      </w:pPr>
    </w:p>
    <w:p>
      <w:pPr>
        <w:spacing w:before="280" w:after="120"/>
      </w:pPr>
      <w:r>
        <w:rPr>
          <w:b/>
          <w:color w:val="081E2D"/>
          <w:sz w:val="32"/>
        </w:rPr>
        <w:t>4. Що вже зроблено для запуску розширення</w:t>
      </w:r>
    </w:p>
    <w:p>
      <w:pPr>
        <w:spacing w:before="200" w:after="80"/>
      </w:pPr>
      <w:r>
        <w:rPr>
          <w:b/>
          <w:color w:val="334155"/>
          <w:sz w:val="26"/>
        </w:rPr>
        <w:t>Підготовча документація</w:t>
      </w:r>
    </w:p>
    <w:p>
      <w:pPr>
        <w:pStyle w:val="ListBullet"/>
        <w:spacing w:after="40"/>
        <w:ind w:left="340"/>
      </w:pPr>
      <w:r>
        <w:rPr>
          <w:b/>
          <w:i w:val="0"/>
        </w:rPr>
        <w:t>Технічний план проекту</w:t>
      </w:r>
      <w:r>
        <w:rPr>
          <w:b w:val="0"/>
          <w:i w:val="0"/>
        </w:rPr>
        <w:t xml:space="preserve"> з декомпозицією по блоках, оцінками, ризиками — 1100+ рядків</w:t>
      </w:r>
    </w:p>
    <w:p>
      <w:pPr>
        <w:pStyle w:val="ListBullet"/>
        <w:spacing w:after="40"/>
        <w:ind w:left="340"/>
      </w:pPr>
      <w:r>
        <w:rPr>
          <w:b/>
          <w:i w:val="0"/>
        </w:rPr>
        <w:t>Специфікація для 1С-розробника</w:t>
      </w:r>
      <w:r>
        <w:rPr>
          <w:b w:val="0"/>
          <w:i w:val="0"/>
        </w:rPr>
        <w:t xml:space="preserve"> на 16 нових методів з прикладами запитів/відповідей, виключеннями, вимогами до швидкодії — 1050 рядків</w:t>
      </w:r>
    </w:p>
    <w:p>
      <w:pPr>
        <w:pStyle w:val="ListBullet"/>
        <w:spacing w:after="40"/>
        <w:ind w:left="340"/>
      </w:pPr>
      <w:r>
        <w:rPr>
          <w:b/>
          <w:i w:val="0"/>
        </w:rPr>
        <w:t>Реєстр з 17 архітектурних рішень</w:t>
      </w:r>
      <w:r>
        <w:rPr>
          <w:b w:val="0"/>
          <w:i w:val="0"/>
        </w:rPr>
        <w:t xml:space="preserve"> з контекстом, обґрунтуванням і наслідками</w:t>
      </w:r>
    </w:p>
    <w:p>
      <w:pPr>
        <w:pStyle w:val="ListBullet"/>
        <w:spacing w:after="40"/>
        <w:ind w:left="340"/>
      </w:pPr>
      <w:r>
        <w:rPr>
          <w:b/>
          <w:i w:val="0"/>
        </w:rPr>
        <w:t>Аудити трьох вихідних систем</w:t>
      </w:r>
      <w:r>
        <w:rPr>
          <w:b w:val="0"/>
          <w:i w:val="0"/>
        </w:rPr>
        <w:t>: поточного додатка зустрічей, недороблена попередня версія з замовленнями, чинної системи рекламацій</w:t>
      </w:r>
    </w:p>
    <w:p>
      <w:pPr>
        <w:pStyle w:val="ListBullet"/>
        <w:spacing w:after="40"/>
        <w:ind w:left="340"/>
      </w:pPr>
      <w:r>
        <w:rPr>
          <w:b/>
          <w:i w:val="0"/>
        </w:rPr>
        <w:t>Специфікація алгоритму найкращого менеджера по ТМ</w:t>
      </w:r>
      <w:r>
        <w:rPr>
          <w:b w:val="0"/>
          <w:i w:val="0"/>
        </w:rPr>
        <w:t xml:space="preserve"> за діючими конкурсними умовами червня 2026</w:t>
      </w:r>
    </w:p>
    <w:p>
      <w:pPr>
        <w:pStyle w:val="ListBullet"/>
        <w:spacing w:after="40"/>
        <w:ind w:left="340"/>
      </w:pPr>
      <w:r>
        <w:rPr>
          <w:b/>
          <w:i w:val="0"/>
        </w:rPr>
        <w:t>Детальна специфікація блоку деталізації продажів</w:t>
      </w:r>
      <w:r>
        <w:rPr>
          <w:b w:val="0"/>
          <w:i w:val="0"/>
        </w:rPr>
        <w:t xml:space="preserve"> зі схемою бази даних і логікою синхронізації</w:t>
      </w:r>
    </w:p>
    <w:p>
      <w:pPr>
        <w:spacing w:before="200" w:after="80"/>
      </w:pPr>
      <w:r>
        <w:rPr>
          <w:b/>
          <w:color w:val="334155"/>
          <w:sz w:val="26"/>
        </w:rPr>
        <w:t>Зафіксовано дизайн</w:t>
      </w:r>
    </w:p>
    <w:p>
      <w:pPr>
        <w:pStyle w:val="ListBullet"/>
        <w:spacing w:after="40"/>
        <w:ind w:left="340"/>
      </w:pPr>
      <w:r>
        <w:rPr>
          <w:b w:val="0"/>
          <w:i w:val="0"/>
        </w:rPr>
        <w:t>Дашборд зустрічей у нашому glass-стилі — 3 варіанти розглянуто, фінальний обрано</w:t>
      </w:r>
    </w:p>
    <w:p>
      <w:pPr>
        <w:pStyle w:val="ListBullet"/>
        <w:spacing w:after="40"/>
        <w:ind w:left="340"/>
      </w:pPr>
      <w:r>
        <w:rPr>
          <w:b w:val="0"/>
          <w:i w:val="0"/>
        </w:rPr>
        <w:t>Форма зустрічі — 2 варіанти розглянуто, фінальний обрано (mobile bottom-sheet + desktop modal)</w:t>
      </w:r>
    </w:p>
    <w:p>
      <w:pPr>
        <w:spacing w:before="80" w:after="80"/>
        <w:pBdr>
          <w:bottom w:val="single" w:sz="6" w:color="066AAB"/>
        </w:pBdr>
      </w:pPr>
    </w:p>
    <w:p>
      <w:pPr>
        <w:spacing w:before="280" w:after="120"/>
      </w:pPr>
      <w:r>
        <w:rPr>
          <w:b/>
          <w:color w:val="081E2D"/>
          <w:sz w:val="32"/>
        </w:rPr>
        <w:t>5. Терміни і години роботи</w:t>
      </w:r>
    </w:p>
    <w:p>
      <w:pPr>
        <w:spacing w:before="200" w:after="80"/>
      </w:pPr>
      <w:r>
        <w:rPr>
          <w:b/>
          <w:color w:val="334155"/>
          <w:sz w:val="26"/>
        </w:rPr>
        <w:t>Розподіл по блоках</w:t>
      </w:r>
    </w:p>
    <w:tbl>
      <w:tblPr>
        <w:tblW w:type="auto" w:w="0"/>
        <w:jc w:val="center"/>
        <w:tblLook w:firstColumn="1" w:firstRow="1" w:lastColumn="0" w:lastRow="0" w:noHBand="0" w:noVBand="1" w:val="04A0"/>
      </w:tblPr>
      <w:tblGrid>
        <w:gridCol w:w="2409"/>
        <w:gridCol w:w="2409"/>
        <w:gridCol w:w="2409"/>
        <w:gridCol w:w="2409"/>
      </w:tblGrid>
      <w:tr>
        <w:tc>
          <w:tcPr>
            <w:tcW w:type="dxa" w:w="2409"/>
            <w:vAlign w:val="center"/>
            <w:shd w:val="clear" w:color="auto" w:fill="066AAB"/>
            <w:tcBorders>
              <w:top w:val="single" w:sz="4" w:color="054D80"/>
              <w:left w:val="single" w:sz="4" w:color="054D80"/>
              <w:bottom w:val="single" w:sz="4" w:color="054D80"/>
              <w:right w:val="single" w:sz="4" w:color="054D80"/>
            </w:tcBorders>
          </w:tcPr>
          <w:p>
            <w:pPr>
              <w:spacing w:before="40" w:after="40"/>
            </w:pPr>
            <w:r>
              <w:rPr>
                <w:b/>
                <w:color w:val="FFFFFF"/>
                <w:sz w:val="20"/>
              </w:rPr>
              <w:t>Блок</w:t>
            </w:r>
          </w:p>
        </w:tc>
        <w:tc>
          <w:tcPr>
            <w:tcW w:type="dxa" w:w="2409"/>
            <w:vAlign w:val="center"/>
            <w:shd w:val="clear" w:color="auto" w:fill="066AAB"/>
            <w:tcBorders>
              <w:top w:val="single" w:sz="4" w:color="054D80"/>
              <w:left w:val="single" w:sz="4" w:color="054D80"/>
              <w:bottom w:val="single" w:sz="4" w:color="054D80"/>
              <w:right w:val="single" w:sz="4" w:color="054D80"/>
            </w:tcBorders>
          </w:tcPr>
          <w:p>
            <w:pPr>
              <w:spacing w:before="40" w:after="40"/>
            </w:pPr>
            <w:r>
              <w:rPr>
                <w:b/>
                <w:color w:val="FFFFFF"/>
                <w:sz w:val="20"/>
              </w:rPr>
              <w:t>Зміст</w:t>
            </w:r>
          </w:p>
        </w:tc>
        <w:tc>
          <w:tcPr>
            <w:tcW w:type="dxa" w:w="2409"/>
            <w:vAlign w:val="center"/>
            <w:shd w:val="clear" w:color="auto" w:fill="066AAB"/>
            <w:tcBorders>
              <w:top w:val="single" w:sz="4" w:color="054D80"/>
              <w:left w:val="single" w:sz="4" w:color="054D80"/>
              <w:bottom w:val="single" w:sz="4" w:color="054D80"/>
              <w:right w:val="single" w:sz="4" w:color="054D80"/>
            </w:tcBorders>
          </w:tcPr>
          <w:p>
            <w:pPr>
              <w:spacing w:before="40" w:after="40"/>
            </w:pPr>
            <w:r>
              <w:rPr>
                <w:b/>
                <w:color w:val="FFFFFF"/>
                <w:sz w:val="20"/>
              </w:rPr>
              <w:t>Frontend години</w:t>
            </w:r>
          </w:p>
        </w:tc>
        <w:tc>
          <w:tcPr>
            <w:tcW w:type="dxa" w:w="2409"/>
            <w:vAlign w:val="center"/>
            <w:shd w:val="clear" w:color="auto" w:fill="066AAB"/>
            <w:tcBorders>
              <w:top w:val="single" w:sz="4" w:color="054D80"/>
              <w:left w:val="single" w:sz="4" w:color="054D80"/>
              <w:bottom w:val="single" w:sz="4" w:color="054D80"/>
              <w:right w:val="single" w:sz="4" w:color="054D80"/>
            </w:tcBorders>
          </w:tcPr>
          <w:p>
            <w:pPr>
              <w:spacing w:before="40" w:after="40"/>
            </w:pPr>
            <w:r>
              <w:rPr>
                <w:b/>
                <w:color w:val="FFFFFF"/>
                <w:sz w:val="20"/>
              </w:rPr>
              <w:t>Календарно</w:t>
            </w:r>
          </w:p>
        </w:tc>
      </w:tr>
      <w:tr>
        <w:tc>
          <w:tcPr>
            <w:tcW w:type="dxa" w:w="2409"/>
            <w:vAlign w:val="center"/>
            <w:tcBorders>
              <w:top w:val="single" w:sz="4" w:color="D5DAE0"/>
              <w:left w:val="single" w:sz="4" w:color="D5DAE0"/>
              <w:bottom w:val="single" w:sz="4" w:color="D5DAE0"/>
              <w:right w:val="single" w:sz="4" w:color="D5DAE0"/>
            </w:tcBorders>
          </w:tcPr>
          <w:p>
            <w:pPr>
              <w:spacing w:before="60" w:after="60"/>
            </w:pPr>
            <w:r>
              <w:rPr>
                <w:b w:val="0"/>
                <w:i w:val="0"/>
                <w:sz w:val="20"/>
              </w:rPr>
              <w:t>Підготовка</w:t>
            </w:r>
          </w:p>
        </w:tc>
        <w:tc>
          <w:tcPr>
            <w:tcW w:type="dxa" w:w="2409"/>
            <w:vAlign w:val="center"/>
            <w:tcBorders>
              <w:top w:val="single" w:sz="4" w:color="D5DAE0"/>
              <w:left w:val="single" w:sz="4" w:color="D5DAE0"/>
              <w:bottom w:val="single" w:sz="4" w:color="D5DAE0"/>
              <w:right w:val="single" w:sz="4" w:color="D5DAE0"/>
            </w:tcBorders>
          </w:tcPr>
          <w:p>
            <w:pPr>
              <w:spacing w:before="60" w:after="60"/>
            </w:pPr>
            <w:r>
              <w:rPr>
                <w:b w:val="0"/>
                <w:i w:val="0"/>
                <w:sz w:val="20"/>
              </w:rPr>
              <w:t>Документація, специфікації, дизайн</w:t>
            </w:r>
          </w:p>
        </w:tc>
        <w:tc>
          <w:tcPr>
            <w:tcW w:type="dxa" w:w="2409"/>
            <w:vAlign w:val="center"/>
            <w:tcBorders>
              <w:top w:val="single" w:sz="4" w:color="D5DAE0"/>
              <w:left w:val="single" w:sz="4" w:color="D5DAE0"/>
              <w:bottom w:val="single" w:sz="4" w:color="D5DAE0"/>
              <w:right w:val="single" w:sz="4" w:color="D5DAE0"/>
            </w:tcBorders>
          </w:tcPr>
          <w:p>
            <w:pPr>
              <w:spacing w:before="60" w:after="60"/>
            </w:pPr>
            <w:r>
              <w:rPr>
                <w:b w:val="0"/>
                <w:i w:val="0"/>
                <w:sz w:val="20"/>
              </w:rPr>
              <w:t>✅ Готова</w:t>
            </w:r>
          </w:p>
        </w:tc>
        <w:tc>
          <w:tcPr>
            <w:tcW w:type="dxa" w:w="2409"/>
            <w:vAlign w:val="center"/>
            <w:tcBorders>
              <w:top w:val="single" w:sz="4" w:color="D5DAE0"/>
              <w:left w:val="single" w:sz="4" w:color="D5DAE0"/>
              <w:bottom w:val="single" w:sz="4" w:color="D5DAE0"/>
              <w:right w:val="single" w:sz="4" w:color="D5DAE0"/>
            </w:tcBorders>
          </w:tcPr>
          <w:p>
            <w:pPr>
              <w:spacing w:before="60" w:after="60"/>
            </w:pPr>
            <w:r>
              <w:rPr>
                <w:b w:val="0"/>
                <w:i w:val="0"/>
                <w:sz w:val="20"/>
              </w:rPr>
              <w:t>—</w:t>
            </w:r>
          </w:p>
        </w:tc>
      </w:tr>
      <w:tr>
        <w:tc>
          <w:tcPr>
            <w:tcW w:type="dxa" w:w="2409"/>
            <w:vAlign w:val="center"/>
            <w:tcBorders>
              <w:top w:val="single" w:sz="4" w:color="D5DAE0"/>
              <w:left w:val="single" w:sz="4" w:color="D5DAE0"/>
              <w:bottom w:val="single" w:sz="4" w:color="D5DAE0"/>
              <w:right w:val="single" w:sz="4" w:color="D5DAE0"/>
            </w:tcBorders>
            <w:shd w:val="clear" w:color="auto" w:fill="F8FAFC"/>
          </w:tcPr>
          <w:p>
            <w:pPr>
              <w:spacing w:before="60" w:after="60"/>
            </w:pPr>
            <w:r>
              <w:rPr>
                <w:b w:val="0"/>
                <w:i w:val="0"/>
                <w:sz w:val="20"/>
              </w:rPr>
              <w:t>Зустрічі</w:t>
            </w:r>
          </w:p>
        </w:tc>
        <w:tc>
          <w:tcPr>
            <w:tcW w:type="dxa" w:w="2409"/>
            <w:vAlign w:val="center"/>
            <w:tcBorders>
              <w:top w:val="single" w:sz="4" w:color="D5DAE0"/>
              <w:left w:val="single" w:sz="4" w:color="D5DAE0"/>
              <w:bottom w:val="single" w:sz="4" w:color="D5DAE0"/>
              <w:right w:val="single" w:sz="4" w:color="D5DAE0"/>
            </w:tcBorders>
            <w:shd w:val="clear" w:color="auto" w:fill="F8FAFC"/>
          </w:tcPr>
          <w:p>
            <w:pPr>
              <w:spacing w:before="60" w:after="60"/>
            </w:pPr>
            <w:r>
              <w:rPr>
                <w:b w:val="0"/>
                <w:i w:val="0"/>
                <w:sz w:val="20"/>
              </w:rPr>
              <w:t>Перенесення з meeting-4.0 + покращення + буферна синхронізація + інтеграція Google Calendar</w:t>
            </w:r>
          </w:p>
        </w:tc>
        <w:tc>
          <w:tcPr>
            <w:tcW w:type="dxa" w:w="2409"/>
            <w:vAlign w:val="center"/>
            <w:tcBorders>
              <w:top w:val="single" w:sz="4" w:color="D5DAE0"/>
              <w:left w:val="single" w:sz="4" w:color="D5DAE0"/>
              <w:bottom w:val="single" w:sz="4" w:color="D5DAE0"/>
              <w:right w:val="single" w:sz="4" w:color="D5DAE0"/>
            </w:tcBorders>
            <w:shd w:val="clear" w:color="auto" w:fill="F8FAFC"/>
          </w:tcPr>
          <w:p>
            <w:pPr>
              <w:spacing w:before="60" w:after="60"/>
            </w:pPr>
            <w:r>
              <w:rPr>
                <w:b w:val="0"/>
                <w:i w:val="0"/>
                <w:sz w:val="20"/>
              </w:rPr>
              <w:t>120-160 годин</w:t>
            </w:r>
          </w:p>
        </w:tc>
        <w:tc>
          <w:tcPr>
            <w:tcW w:type="dxa" w:w="2409"/>
            <w:vAlign w:val="center"/>
            <w:tcBorders>
              <w:top w:val="single" w:sz="4" w:color="D5DAE0"/>
              <w:left w:val="single" w:sz="4" w:color="D5DAE0"/>
              <w:bottom w:val="single" w:sz="4" w:color="D5DAE0"/>
              <w:right w:val="single" w:sz="4" w:color="D5DAE0"/>
            </w:tcBorders>
            <w:shd w:val="clear" w:color="auto" w:fill="F8FAFC"/>
          </w:tcPr>
          <w:p>
            <w:pPr>
              <w:spacing w:before="60" w:after="60"/>
            </w:pPr>
            <w:r>
              <w:rPr>
                <w:b w:val="0"/>
                <w:i w:val="0"/>
                <w:sz w:val="20"/>
              </w:rPr>
              <w:t>3-4 тижні</w:t>
            </w:r>
          </w:p>
        </w:tc>
      </w:tr>
      <w:tr>
        <w:tc>
          <w:tcPr>
            <w:tcW w:type="dxa" w:w="2409"/>
            <w:vAlign w:val="center"/>
            <w:tcBorders>
              <w:top w:val="single" w:sz="4" w:color="D5DAE0"/>
              <w:left w:val="single" w:sz="4" w:color="D5DAE0"/>
              <w:bottom w:val="single" w:sz="4" w:color="D5DAE0"/>
              <w:right w:val="single" w:sz="4" w:color="D5DAE0"/>
            </w:tcBorders>
          </w:tcPr>
          <w:p>
            <w:pPr>
              <w:spacing w:before="60" w:after="60"/>
            </w:pPr>
            <w:r>
              <w:rPr>
                <w:b w:val="0"/>
                <w:i w:val="0"/>
                <w:sz w:val="20"/>
              </w:rPr>
              <w:t>Деталізація продажів</w:t>
            </w:r>
          </w:p>
        </w:tc>
        <w:tc>
          <w:tcPr>
            <w:tcW w:type="dxa" w:w="2409"/>
            <w:vAlign w:val="center"/>
            <w:tcBorders>
              <w:top w:val="single" w:sz="4" w:color="D5DAE0"/>
              <w:left w:val="single" w:sz="4" w:color="D5DAE0"/>
              <w:bottom w:val="single" w:sz="4" w:color="D5DAE0"/>
              <w:right w:val="single" w:sz="4" w:color="D5DAE0"/>
            </w:tcBorders>
          </w:tcPr>
          <w:p>
            <w:pPr>
              <w:spacing w:before="60" w:after="60"/>
            </w:pPr>
            <w:r>
              <w:rPr>
                <w:b w:val="0"/>
                <w:i w:val="0"/>
                <w:sz w:val="20"/>
              </w:rPr>
              <w:t>Бекфіл з 2025 + щоденна синхронізація + аналітичні віджети + Best Manager</w:t>
            </w:r>
          </w:p>
        </w:tc>
        <w:tc>
          <w:tcPr>
            <w:tcW w:type="dxa" w:w="2409"/>
            <w:vAlign w:val="center"/>
            <w:tcBorders>
              <w:top w:val="single" w:sz="4" w:color="D5DAE0"/>
              <w:left w:val="single" w:sz="4" w:color="D5DAE0"/>
              <w:bottom w:val="single" w:sz="4" w:color="D5DAE0"/>
              <w:right w:val="single" w:sz="4" w:color="D5DAE0"/>
            </w:tcBorders>
          </w:tcPr>
          <w:p>
            <w:pPr>
              <w:spacing w:before="60" w:after="60"/>
            </w:pPr>
            <w:r>
              <w:rPr>
                <w:b w:val="0"/>
                <w:i w:val="0"/>
                <w:sz w:val="20"/>
              </w:rPr>
              <w:t>56-72 годин (паралельно з Зустрічами)</w:t>
            </w:r>
          </w:p>
        </w:tc>
        <w:tc>
          <w:tcPr>
            <w:tcW w:type="dxa" w:w="2409"/>
            <w:vAlign w:val="center"/>
            <w:tcBorders>
              <w:top w:val="single" w:sz="4" w:color="D5DAE0"/>
              <w:left w:val="single" w:sz="4" w:color="D5DAE0"/>
              <w:bottom w:val="single" w:sz="4" w:color="D5DAE0"/>
              <w:right w:val="single" w:sz="4" w:color="D5DAE0"/>
            </w:tcBorders>
          </w:tcPr>
          <w:p>
            <w:pPr>
              <w:spacing w:before="60" w:after="60"/>
            </w:pPr>
            <w:r>
              <w:rPr>
                <w:b w:val="0"/>
                <w:i w:val="0"/>
                <w:sz w:val="20"/>
              </w:rPr>
              <w:t>5-6 тижнів кумулятивно</w:t>
            </w:r>
          </w:p>
        </w:tc>
      </w:tr>
      <w:tr>
        <w:tc>
          <w:tcPr>
            <w:tcW w:type="dxa" w:w="2409"/>
            <w:vAlign w:val="center"/>
            <w:tcBorders>
              <w:top w:val="single" w:sz="4" w:color="D5DAE0"/>
              <w:left w:val="single" w:sz="4" w:color="D5DAE0"/>
              <w:bottom w:val="single" w:sz="4" w:color="D5DAE0"/>
              <w:right w:val="single" w:sz="4" w:color="D5DAE0"/>
            </w:tcBorders>
            <w:shd w:val="clear" w:color="auto" w:fill="F8FAFC"/>
          </w:tcPr>
          <w:p>
            <w:pPr>
              <w:spacing w:before="60" w:after="60"/>
            </w:pPr>
            <w:r>
              <w:rPr>
                <w:b w:val="0"/>
                <w:i w:val="0"/>
                <w:sz w:val="20"/>
              </w:rPr>
              <w:t>Дебіторка</w:t>
            </w:r>
          </w:p>
        </w:tc>
        <w:tc>
          <w:tcPr>
            <w:tcW w:type="dxa" w:w="2409"/>
            <w:vAlign w:val="center"/>
            <w:tcBorders>
              <w:top w:val="single" w:sz="4" w:color="D5DAE0"/>
              <w:left w:val="single" w:sz="4" w:color="D5DAE0"/>
              <w:bottom w:val="single" w:sz="4" w:color="D5DAE0"/>
              <w:right w:val="single" w:sz="4" w:color="D5DAE0"/>
            </w:tcBorders>
            <w:shd w:val="clear" w:color="auto" w:fill="F8FAFC"/>
          </w:tcPr>
          <w:p>
            <w:pPr>
              <w:spacing w:before="60" w:after="60"/>
            </w:pPr>
            <w:r>
              <w:rPr>
                <w:b w:val="0"/>
                <w:i w:val="0"/>
                <w:sz w:val="20"/>
              </w:rPr>
              <w:t>Інтерфейс на картці + standalone view + кеш з TTL</w:t>
            </w:r>
          </w:p>
        </w:tc>
        <w:tc>
          <w:tcPr>
            <w:tcW w:type="dxa" w:w="2409"/>
            <w:vAlign w:val="center"/>
            <w:tcBorders>
              <w:top w:val="single" w:sz="4" w:color="D5DAE0"/>
              <w:left w:val="single" w:sz="4" w:color="D5DAE0"/>
              <w:bottom w:val="single" w:sz="4" w:color="D5DAE0"/>
              <w:right w:val="single" w:sz="4" w:color="D5DAE0"/>
            </w:tcBorders>
            <w:shd w:val="clear" w:color="auto" w:fill="F8FAFC"/>
          </w:tcPr>
          <w:p>
            <w:pPr>
              <w:spacing w:before="60" w:after="60"/>
            </w:pPr>
            <w:r>
              <w:rPr>
                <w:b w:val="0"/>
                <w:i w:val="0"/>
                <w:sz w:val="20"/>
              </w:rPr>
              <w:t>40-56 годин</w:t>
            </w:r>
          </w:p>
        </w:tc>
        <w:tc>
          <w:tcPr>
            <w:tcW w:type="dxa" w:w="2409"/>
            <w:vAlign w:val="center"/>
            <w:tcBorders>
              <w:top w:val="single" w:sz="4" w:color="D5DAE0"/>
              <w:left w:val="single" w:sz="4" w:color="D5DAE0"/>
              <w:bottom w:val="single" w:sz="4" w:color="D5DAE0"/>
              <w:right w:val="single" w:sz="4" w:color="D5DAE0"/>
            </w:tcBorders>
            <w:shd w:val="clear" w:color="auto" w:fill="F8FAFC"/>
          </w:tcPr>
          <w:p>
            <w:pPr>
              <w:spacing w:before="60" w:after="60"/>
            </w:pPr>
            <w:r>
              <w:rPr>
                <w:b w:val="0"/>
                <w:i w:val="0"/>
                <w:sz w:val="20"/>
              </w:rPr>
              <w:t>7-8 тижнів кумулятивно</w:t>
            </w:r>
          </w:p>
        </w:tc>
      </w:tr>
      <w:tr>
        <w:tc>
          <w:tcPr>
            <w:tcW w:type="dxa" w:w="2409"/>
            <w:vAlign w:val="center"/>
            <w:tcBorders>
              <w:top w:val="single" w:sz="4" w:color="D5DAE0"/>
              <w:left w:val="single" w:sz="4" w:color="D5DAE0"/>
              <w:bottom w:val="single" w:sz="4" w:color="D5DAE0"/>
              <w:right w:val="single" w:sz="4" w:color="D5DAE0"/>
            </w:tcBorders>
          </w:tcPr>
          <w:p>
            <w:pPr>
              <w:spacing w:before="60" w:after="60"/>
            </w:pPr>
            <w:r>
              <w:rPr>
                <w:b w:val="0"/>
                <w:i w:val="0"/>
                <w:sz w:val="20"/>
              </w:rPr>
              <w:t>Рекламації</w:t>
            </w:r>
          </w:p>
        </w:tc>
        <w:tc>
          <w:tcPr>
            <w:tcW w:type="dxa" w:w="2409"/>
            <w:vAlign w:val="center"/>
            <w:tcBorders>
              <w:top w:val="single" w:sz="4" w:color="D5DAE0"/>
              <w:left w:val="single" w:sz="4" w:color="D5DAE0"/>
              <w:bottom w:val="single" w:sz="4" w:color="D5DAE0"/>
              <w:right w:val="single" w:sz="4" w:color="D5DAE0"/>
            </w:tcBorders>
          </w:tcPr>
          <w:p>
            <w:pPr>
              <w:spacing w:before="60" w:after="60"/>
            </w:pPr>
            <w:r>
              <w:rPr>
                <w:b w:val="0"/>
                <w:i w:val="0"/>
                <w:sz w:val="20"/>
              </w:rPr>
              <w:t>Інтеграція з reclamation-app + counter-widget</w:t>
            </w:r>
          </w:p>
        </w:tc>
        <w:tc>
          <w:tcPr>
            <w:tcW w:type="dxa" w:w="2409"/>
            <w:vAlign w:val="center"/>
            <w:tcBorders>
              <w:top w:val="single" w:sz="4" w:color="D5DAE0"/>
              <w:left w:val="single" w:sz="4" w:color="D5DAE0"/>
              <w:bottom w:val="single" w:sz="4" w:color="D5DAE0"/>
              <w:right w:val="single" w:sz="4" w:color="D5DAE0"/>
            </w:tcBorders>
          </w:tcPr>
          <w:p>
            <w:pPr>
              <w:spacing w:before="60" w:after="60"/>
            </w:pPr>
            <w:r>
              <w:rPr>
                <w:b w:val="0"/>
                <w:i w:val="0"/>
                <w:sz w:val="20"/>
              </w:rPr>
              <w:t>24-32 годин</w:t>
            </w:r>
          </w:p>
        </w:tc>
        <w:tc>
          <w:tcPr>
            <w:tcW w:type="dxa" w:w="2409"/>
            <w:vAlign w:val="center"/>
            <w:tcBorders>
              <w:top w:val="single" w:sz="4" w:color="D5DAE0"/>
              <w:left w:val="single" w:sz="4" w:color="D5DAE0"/>
              <w:bottom w:val="single" w:sz="4" w:color="D5DAE0"/>
              <w:right w:val="single" w:sz="4" w:color="D5DAE0"/>
            </w:tcBorders>
          </w:tcPr>
          <w:p>
            <w:pPr>
              <w:spacing w:before="60" w:after="60"/>
            </w:pPr>
            <w:r>
              <w:rPr>
                <w:b w:val="0"/>
                <w:i w:val="0"/>
                <w:sz w:val="20"/>
              </w:rPr>
              <w:t>8 тижнів кумулятивно</w:t>
            </w:r>
          </w:p>
        </w:tc>
      </w:tr>
      <w:tr>
        <w:tc>
          <w:tcPr>
            <w:tcW w:type="dxa" w:w="2409"/>
            <w:vAlign w:val="center"/>
            <w:tcBorders>
              <w:top w:val="single" w:sz="4" w:color="D5DAE0"/>
              <w:left w:val="single" w:sz="4" w:color="D5DAE0"/>
              <w:bottom w:val="single" w:sz="4" w:color="D5DAE0"/>
              <w:right w:val="single" w:sz="4" w:color="D5DAE0"/>
            </w:tcBorders>
            <w:shd w:val="clear" w:color="auto" w:fill="F8FAFC"/>
          </w:tcPr>
          <w:p>
            <w:pPr>
              <w:spacing w:before="60" w:after="60"/>
            </w:pPr>
            <w:r>
              <w:rPr>
                <w:b w:val="0"/>
                <w:i w:val="0"/>
                <w:sz w:val="20"/>
              </w:rPr>
              <w:t>Замовлення / Реалізації</w:t>
            </w:r>
          </w:p>
        </w:tc>
        <w:tc>
          <w:tcPr>
            <w:tcW w:type="dxa" w:w="2409"/>
            <w:vAlign w:val="center"/>
            <w:tcBorders>
              <w:top w:val="single" w:sz="4" w:color="D5DAE0"/>
              <w:left w:val="single" w:sz="4" w:color="D5DAE0"/>
              <w:bottom w:val="single" w:sz="4" w:color="D5DAE0"/>
              <w:right w:val="single" w:sz="4" w:color="D5DAE0"/>
            </w:tcBorders>
            <w:shd w:val="clear" w:color="auto" w:fill="F8FAFC"/>
          </w:tcPr>
          <w:p>
            <w:pPr>
              <w:spacing w:before="60" w:after="60"/>
            </w:pPr>
            <w:r>
              <w:rPr>
                <w:b w:val="0"/>
                <w:i w:val="0"/>
                <w:sz w:val="20"/>
              </w:rPr>
              <w:t>Форма з кошиком + multi-currency + gift-логіка + 9 нових методів інтеграції</w:t>
            </w:r>
          </w:p>
        </w:tc>
        <w:tc>
          <w:tcPr>
            <w:tcW w:type="dxa" w:w="2409"/>
            <w:vAlign w:val="center"/>
            <w:tcBorders>
              <w:top w:val="single" w:sz="4" w:color="D5DAE0"/>
              <w:left w:val="single" w:sz="4" w:color="D5DAE0"/>
              <w:bottom w:val="single" w:sz="4" w:color="D5DAE0"/>
              <w:right w:val="single" w:sz="4" w:color="D5DAE0"/>
            </w:tcBorders>
            <w:shd w:val="clear" w:color="auto" w:fill="F8FAFC"/>
          </w:tcPr>
          <w:p>
            <w:pPr>
              <w:spacing w:before="60" w:after="60"/>
            </w:pPr>
            <w:r>
              <w:rPr>
                <w:b w:val="0"/>
                <w:i w:val="0"/>
                <w:sz w:val="20"/>
              </w:rPr>
              <w:t>120-160 годин</w:t>
            </w:r>
          </w:p>
        </w:tc>
        <w:tc>
          <w:tcPr>
            <w:tcW w:type="dxa" w:w="2409"/>
            <w:vAlign w:val="center"/>
            <w:tcBorders>
              <w:top w:val="single" w:sz="4" w:color="D5DAE0"/>
              <w:left w:val="single" w:sz="4" w:color="D5DAE0"/>
              <w:bottom w:val="single" w:sz="4" w:color="D5DAE0"/>
              <w:right w:val="single" w:sz="4" w:color="D5DAE0"/>
            </w:tcBorders>
            <w:shd w:val="clear" w:color="auto" w:fill="F8FAFC"/>
          </w:tcPr>
          <w:p>
            <w:pPr>
              <w:spacing w:before="60" w:after="60"/>
            </w:pPr>
            <w:r>
              <w:rPr>
                <w:b w:val="0"/>
                <w:i w:val="0"/>
                <w:sz w:val="20"/>
              </w:rPr>
              <w:t>12-13 тижнів кумулятивно</w:t>
            </w:r>
          </w:p>
        </w:tc>
      </w:tr>
    </w:tbl>
    <w:p>
      <w:pPr>
        <w:spacing w:after="80"/>
      </w:pPr>
    </w:p>
    <w:p>
      <w:r>
        <w:rPr>
          <w:b/>
          <w:i w:val="0"/>
        </w:rPr>
        <w:t>Загальний обсяг розробки інтерфейсу:</w:t>
      </w:r>
      <w:r>
        <w:rPr>
          <w:b w:val="0"/>
          <w:i w:val="0"/>
        </w:rPr>
        <w:t xml:space="preserve"> 360-480 годин (~10-13 робочих тижнів повної зайнятості).</w:t>
      </w:r>
    </w:p>
    <w:p>
      <w:r>
        <w:rPr>
          <w:b/>
          <w:i w:val="0"/>
        </w:rPr>
        <w:t>1С-розробка:</w:t>
      </w:r>
      <w:r>
        <w:rPr>
          <w:b w:val="0"/>
          <w:i w:val="0"/>
        </w:rPr>
        <w:t xml:space="preserve"> ~50% часу 1С-розробника протягом усього проекту, розподілено по чергах по блоках. Конкретний час залежить від наявних можливостей 1С-розробника і узгодженої черги.</w:t>
      </w:r>
    </w:p>
    <w:p>
      <w:pPr>
        <w:spacing w:before="200" w:after="80"/>
      </w:pPr>
      <w:r>
        <w:rPr>
          <w:b/>
          <w:color w:val="334155"/>
          <w:sz w:val="26"/>
        </w:rPr>
        <w:t>Критична залежність</w:t>
      </w:r>
    </w:p>
    <w:p>
      <w:r>
        <w:rPr>
          <w:b w:val="0"/>
          <w:i w:val="0"/>
        </w:rPr>
        <w:t>Готовність нових 1С-методів — головна змінна. Якщо 1С-черга затримується, етапи 1.5 / 2A / 3 зрушуються пропорційно (frontend готовий, але не може стартувати).</w:t>
      </w:r>
    </w:p>
    <w:p>
      <w:pPr>
        <w:spacing w:before="80" w:after="80"/>
        <w:pBdr>
          <w:bottom w:val="single" w:sz="6" w:color="066AAB"/>
        </w:pBdr>
      </w:pPr>
    </w:p>
    <w:p>
      <w:pPr>
        <w:spacing w:before="280" w:after="120"/>
      </w:pPr>
      <w:r>
        <w:rPr>
          <w:b/>
          <w:color w:val="081E2D"/>
          <w:sz w:val="32"/>
        </w:rPr>
        <w:t>6. Бюджет</w:t>
      </w:r>
    </w:p>
    <w:p>
      <w:pPr>
        <w:spacing w:before="200" w:after="80"/>
      </w:pPr>
      <w:r>
        <w:rPr>
          <w:b/>
          <w:color w:val="334155"/>
          <w:sz w:val="26"/>
        </w:rPr>
        <w:t>Щомісячні витрати на інфраструктуру</w:t>
      </w:r>
    </w:p>
    <w:tbl>
      <w:tblPr>
        <w:tblW w:type="auto" w:w="0"/>
        <w:jc w:val="center"/>
        <w:tblLook w:firstColumn="1" w:firstRow="1" w:lastColumn="0" w:lastRow="0" w:noHBand="0" w:noVBand="1" w:val="04A0"/>
      </w:tblPr>
      <w:tblGrid>
        <w:gridCol w:w="3213"/>
        <w:gridCol w:w="3213"/>
        <w:gridCol w:w="3213"/>
      </w:tblGrid>
      <w:tr>
        <w:tc>
          <w:tcPr>
            <w:tcW w:type="dxa" w:w="3213"/>
            <w:vAlign w:val="center"/>
            <w:shd w:val="clear" w:color="auto" w:fill="066AAB"/>
            <w:tcBorders>
              <w:top w:val="single" w:sz="4" w:color="054D80"/>
              <w:left w:val="single" w:sz="4" w:color="054D80"/>
              <w:bottom w:val="single" w:sz="4" w:color="054D80"/>
              <w:right w:val="single" w:sz="4" w:color="054D80"/>
            </w:tcBorders>
          </w:tcPr>
          <w:p>
            <w:pPr>
              <w:spacing w:before="40" w:after="40"/>
            </w:pPr>
            <w:r>
              <w:rPr>
                <w:b/>
                <w:color w:val="FFFFFF"/>
                <w:sz w:val="20"/>
              </w:rPr>
              <w:t>Сервіс</w:t>
            </w:r>
          </w:p>
        </w:tc>
        <w:tc>
          <w:tcPr>
            <w:tcW w:type="dxa" w:w="3213"/>
            <w:vAlign w:val="center"/>
            <w:shd w:val="clear" w:color="auto" w:fill="066AAB"/>
            <w:tcBorders>
              <w:top w:val="single" w:sz="4" w:color="054D80"/>
              <w:left w:val="single" w:sz="4" w:color="054D80"/>
              <w:bottom w:val="single" w:sz="4" w:color="054D80"/>
              <w:right w:val="single" w:sz="4" w:color="054D80"/>
            </w:tcBorders>
          </w:tcPr>
          <w:p>
            <w:pPr>
              <w:spacing w:before="40" w:after="40"/>
            </w:pPr>
            <w:r>
              <w:rPr>
                <w:b/>
                <w:color w:val="FFFFFF"/>
                <w:sz w:val="20"/>
              </w:rPr>
              <w:t>Вартість</w:t>
            </w:r>
          </w:p>
        </w:tc>
        <w:tc>
          <w:tcPr>
            <w:tcW w:type="dxa" w:w="3213"/>
            <w:vAlign w:val="center"/>
            <w:shd w:val="clear" w:color="auto" w:fill="066AAB"/>
            <w:tcBorders>
              <w:top w:val="single" w:sz="4" w:color="054D80"/>
              <w:left w:val="single" w:sz="4" w:color="054D80"/>
              <w:bottom w:val="single" w:sz="4" w:color="054D80"/>
              <w:right w:val="single" w:sz="4" w:color="054D80"/>
            </w:tcBorders>
          </w:tcPr>
          <w:p>
            <w:pPr>
              <w:spacing w:before="40" w:after="40"/>
            </w:pPr>
            <w:r>
              <w:rPr>
                <w:b/>
                <w:color w:val="FFFFFF"/>
                <w:sz w:val="20"/>
              </w:rPr>
              <w:t>Що дає</w:t>
            </w:r>
          </w:p>
        </w:tc>
      </w:tr>
      <w:tr>
        <w:tc>
          <w:tcPr>
            <w:tcW w:type="dxa" w:w="3213"/>
            <w:vAlign w:val="center"/>
            <w:tcBorders>
              <w:top w:val="single" w:sz="4" w:color="D5DAE0"/>
              <w:left w:val="single" w:sz="4" w:color="D5DAE0"/>
              <w:bottom w:val="single" w:sz="4" w:color="D5DAE0"/>
              <w:right w:val="single" w:sz="4" w:color="D5DAE0"/>
            </w:tcBorders>
          </w:tcPr>
          <w:p>
            <w:pPr>
              <w:spacing w:before="60" w:after="60"/>
            </w:pPr>
            <w:r>
              <w:rPr>
                <w:b w:val="0"/>
                <w:i w:val="0"/>
                <w:sz w:val="20"/>
              </w:rPr>
              <w:t>Supabase Pro</w:t>
            </w:r>
          </w:p>
        </w:tc>
        <w:tc>
          <w:tcPr>
            <w:tcW w:type="dxa" w:w="3213"/>
            <w:vAlign w:val="center"/>
            <w:tcBorders>
              <w:top w:val="single" w:sz="4" w:color="D5DAE0"/>
              <w:left w:val="single" w:sz="4" w:color="D5DAE0"/>
              <w:bottom w:val="single" w:sz="4" w:color="D5DAE0"/>
              <w:right w:val="single" w:sz="4" w:color="D5DAE0"/>
            </w:tcBorders>
          </w:tcPr>
          <w:p>
            <w:pPr>
              <w:spacing w:before="60" w:after="60"/>
            </w:pPr>
            <w:r>
              <w:rPr>
                <w:b w:val="0"/>
                <w:i w:val="0"/>
                <w:sz w:val="20"/>
              </w:rPr>
              <w:t>$25/місяць</w:t>
            </w:r>
          </w:p>
        </w:tc>
        <w:tc>
          <w:tcPr>
            <w:tcW w:type="dxa" w:w="3213"/>
            <w:vAlign w:val="center"/>
            <w:tcBorders>
              <w:top w:val="single" w:sz="4" w:color="D5DAE0"/>
              <w:left w:val="single" w:sz="4" w:color="D5DAE0"/>
              <w:bottom w:val="single" w:sz="4" w:color="D5DAE0"/>
              <w:right w:val="single" w:sz="4" w:color="D5DAE0"/>
            </w:tcBorders>
          </w:tcPr>
          <w:p>
            <w:pPr>
              <w:spacing w:before="60" w:after="60"/>
            </w:pPr>
            <w:r>
              <w:rPr>
                <w:b w:val="0"/>
                <w:i w:val="0"/>
                <w:sz w:val="20"/>
              </w:rPr>
              <w:t>Резервне копіювання з можливістю відкату до конкретного моменту у часі (PITR) + збільшений ліміт бази даних до 8 ГБ — для захисту фінансово-чутливих даних (дебіторка, рядкові продажі)</w:t>
            </w:r>
          </w:p>
        </w:tc>
      </w:tr>
      <w:tr>
        <w:tc>
          <w:tcPr>
            <w:tcW w:type="dxa" w:w="3213"/>
            <w:vAlign w:val="center"/>
            <w:tcBorders>
              <w:top w:val="single" w:sz="4" w:color="D5DAE0"/>
              <w:left w:val="single" w:sz="4" w:color="D5DAE0"/>
              <w:bottom w:val="single" w:sz="4" w:color="D5DAE0"/>
              <w:right w:val="single" w:sz="4" w:color="D5DAE0"/>
            </w:tcBorders>
            <w:shd w:val="clear" w:color="auto" w:fill="F8FAFC"/>
          </w:tcPr>
          <w:p>
            <w:pPr>
              <w:spacing w:before="60" w:after="60"/>
            </w:pPr>
            <w:r>
              <w:rPr>
                <w:b w:val="0"/>
                <w:i w:val="0"/>
                <w:sz w:val="20"/>
              </w:rPr>
              <w:t>Sentry</w:t>
            </w:r>
          </w:p>
        </w:tc>
        <w:tc>
          <w:tcPr>
            <w:tcW w:type="dxa" w:w="3213"/>
            <w:vAlign w:val="center"/>
            <w:tcBorders>
              <w:top w:val="single" w:sz="4" w:color="D5DAE0"/>
              <w:left w:val="single" w:sz="4" w:color="D5DAE0"/>
              <w:bottom w:val="single" w:sz="4" w:color="D5DAE0"/>
              <w:right w:val="single" w:sz="4" w:color="D5DAE0"/>
            </w:tcBorders>
            <w:shd w:val="clear" w:color="auto" w:fill="F8FAFC"/>
          </w:tcPr>
          <w:p>
            <w:pPr>
              <w:spacing w:before="60" w:after="60"/>
            </w:pPr>
            <w:r>
              <w:rPr>
                <w:b w:val="0"/>
                <w:i w:val="0"/>
                <w:sz w:val="20"/>
              </w:rPr>
              <w:t>$26/місяць</w:t>
            </w:r>
          </w:p>
        </w:tc>
        <w:tc>
          <w:tcPr>
            <w:tcW w:type="dxa" w:w="3213"/>
            <w:vAlign w:val="center"/>
            <w:tcBorders>
              <w:top w:val="single" w:sz="4" w:color="D5DAE0"/>
              <w:left w:val="single" w:sz="4" w:color="D5DAE0"/>
              <w:bottom w:val="single" w:sz="4" w:color="D5DAE0"/>
              <w:right w:val="single" w:sz="4" w:color="D5DAE0"/>
            </w:tcBorders>
            <w:shd w:val="clear" w:color="auto" w:fill="F8FAFC"/>
          </w:tcPr>
          <w:p>
            <w:pPr>
              <w:spacing w:before="60" w:after="60"/>
            </w:pPr>
            <w:r>
              <w:rPr>
                <w:b w:val="0"/>
                <w:i w:val="0"/>
                <w:sz w:val="20"/>
              </w:rPr>
              <w:t>Моніторинг помилок з відтворенням сесій користувача — швидке знаходження причин інцидентів у роботі</w:t>
            </w:r>
          </w:p>
        </w:tc>
      </w:tr>
      <w:tr>
        <w:tc>
          <w:tcPr>
            <w:tcW w:type="dxa" w:w="3213"/>
            <w:vAlign w:val="center"/>
            <w:tcBorders>
              <w:top w:val="single" w:sz="4" w:color="D5DAE0"/>
              <w:left w:val="single" w:sz="4" w:color="D5DAE0"/>
              <w:bottom w:val="single" w:sz="4" w:color="D5DAE0"/>
              <w:right w:val="single" w:sz="4" w:color="D5DAE0"/>
            </w:tcBorders>
          </w:tcPr>
          <w:p>
            <w:pPr>
              <w:spacing w:before="60" w:after="60"/>
            </w:pPr>
            <w:r>
              <w:rPr>
                <w:b/>
                <w:i w:val="0"/>
                <w:sz w:val="20"/>
              </w:rPr>
              <w:t>Разом</w:t>
            </w:r>
          </w:p>
        </w:tc>
        <w:tc>
          <w:tcPr>
            <w:tcW w:type="dxa" w:w="3213"/>
            <w:vAlign w:val="center"/>
            <w:tcBorders>
              <w:top w:val="single" w:sz="4" w:color="D5DAE0"/>
              <w:left w:val="single" w:sz="4" w:color="D5DAE0"/>
              <w:bottom w:val="single" w:sz="4" w:color="D5DAE0"/>
              <w:right w:val="single" w:sz="4" w:color="D5DAE0"/>
            </w:tcBorders>
          </w:tcPr>
          <w:p>
            <w:pPr>
              <w:spacing w:before="60" w:after="60"/>
            </w:pPr>
            <w:r>
              <w:rPr>
                <w:b/>
                <w:i w:val="0"/>
                <w:sz w:val="20"/>
              </w:rPr>
              <w:t>$51/місяць ($612/рік)</w:t>
            </w:r>
          </w:p>
        </w:tc>
        <w:tc>
          <w:tcPr>
            <w:tcW w:type="dxa" w:w="3213"/>
            <w:vAlign w:val="center"/>
            <w:tcBorders>
              <w:top w:val="single" w:sz="4" w:color="D5DAE0"/>
              <w:left w:val="single" w:sz="4" w:color="D5DAE0"/>
              <w:bottom w:val="single" w:sz="4" w:color="D5DAE0"/>
              <w:right w:val="single" w:sz="4" w:color="D5DAE0"/>
            </w:tcBorders>
          </w:tcPr>
          <w:p>
            <w:pPr>
              <w:spacing w:before="60" w:after="60"/>
            </w:pPr>
          </w:p>
        </w:tc>
      </w:tr>
    </w:tbl>
    <w:p>
      <w:pPr>
        <w:spacing w:after="80"/>
      </w:pPr>
    </w:p>
    <w:p>
      <w:r>
        <w:rPr>
          <w:b w:val="0"/>
          <w:i w:val="0"/>
        </w:rPr>
        <w:t>Існуючі сервіси (GitHub, Vercel Hobby, Google Calendar API, Bitrix24, Telegram) — без змін, у поточних безкоштовних або існуючих тарифах.</w:t>
      </w:r>
    </w:p>
    <w:p>
      <w:pPr>
        <w:spacing w:before="200" w:after="80"/>
      </w:pPr>
      <w:r>
        <w:rPr>
          <w:b/>
          <w:color w:val="334155"/>
          <w:sz w:val="26"/>
        </w:rPr>
        <w:t>Одноразові витрати</w:t>
      </w:r>
    </w:p>
    <w:p>
      <w:r>
        <w:rPr>
          <w:b w:val="0"/>
          <w:i w:val="0"/>
        </w:rPr>
        <w:t>Нуль. Розробка покрита існуючою командою.</w:t>
      </w:r>
    </w:p>
    <w:p>
      <w:pPr>
        <w:spacing w:before="200" w:after="80"/>
      </w:pPr>
      <w:r>
        <w:rPr>
          <w:b/>
          <w:color w:val="334155"/>
          <w:sz w:val="26"/>
        </w:rPr>
        <w:t>Ринкова вартість аналогічної розробки</w:t>
      </w:r>
    </w:p>
    <w:p>
      <w:r>
        <w:rPr>
          <w:b w:val="0"/>
          <w:i w:val="0"/>
        </w:rPr>
        <w:t>Для розуміння масштабу — скільки коштувала би така ж розробка, якби виконувалась зовнішнім розробником або підрядником. Розрахунок за поточними ставками українського ринку 2026 для досвідченого розробника зі стеком Next.js + TypeScript + Postgres + ERP-інтеграція:</w:t>
      </w:r>
    </w:p>
    <w:tbl>
      <w:tblPr>
        <w:tblW w:type="auto" w:w="0"/>
        <w:jc w:val="center"/>
        <w:tblLook w:firstColumn="1" w:firstRow="1" w:lastColumn="0" w:lastRow="0" w:noHBand="0" w:noVBand="1" w:val="04A0"/>
      </w:tblPr>
      <w:tblGrid>
        <w:gridCol w:w="2409"/>
        <w:gridCol w:w="2409"/>
        <w:gridCol w:w="2409"/>
        <w:gridCol w:w="2409"/>
      </w:tblGrid>
      <w:tr>
        <w:tc>
          <w:tcPr>
            <w:tcW w:type="dxa" w:w="2409"/>
            <w:vAlign w:val="center"/>
            <w:shd w:val="clear" w:color="auto" w:fill="066AAB"/>
            <w:tcBorders>
              <w:top w:val="single" w:sz="4" w:color="054D80"/>
              <w:left w:val="single" w:sz="4" w:color="054D80"/>
              <w:bottom w:val="single" w:sz="4" w:color="054D80"/>
              <w:right w:val="single" w:sz="4" w:color="054D80"/>
            </w:tcBorders>
          </w:tcPr>
          <w:p>
            <w:pPr>
              <w:spacing w:before="40" w:after="40"/>
            </w:pPr>
            <w:r>
              <w:rPr>
                <w:b/>
                <w:color w:val="FFFFFF"/>
                <w:sz w:val="20"/>
              </w:rPr>
              <w:t>Що</w:t>
            </w:r>
          </w:p>
        </w:tc>
        <w:tc>
          <w:tcPr>
            <w:tcW w:type="dxa" w:w="2409"/>
            <w:vAlign w:val="center"/>
            <w:shd w:val="clear" w:color="auto" w:fill="066AAB"/>
            <w:tcBorders>
              <w:top w:val="single" w:sz="4" w:color="054D80"/>
              <w:left w:val="single" w:sz="4" w:color="054D80"/>
              <w:bottom w:val="single" w:sz="4" w:color="054D80"/>
              <w:right w:val="single" w:sz="4" w:color="054D80"/>
            </w:tcBorders>
          </w:tcPr>
          <w:p>
            <w:pPr>
              <w:spacing w:before="40" w:after="40"/>
            </w:pPr>
            <w:r>
              <w:rPr>
                <w:b/>
                <w:color w:val="FFFFFF"/>
                <w:sz w:val="20"/>
              </w:rPr>
              <w:t>Орієнтовний обсяг</w:t>
            </w:r>
          </w:p>
        </w:tc>
        <w:tc>
          <w:tcPr>
            <w:tcW w:type="dxa" w:w="2409"/>
            <w:vAlign w:val="center"/>
            <w:shd w:val="clear" w:color="auto" w:fill="066AAB"/>
            <w:tcBorders>
              <w:top w:val="single" w:sz="4" w:color="054D80"/>
              <w:left w:val="single" w:sz="4" w:color="054D80"/>
              <w:bottom w:val="single" w:sz="4" w:color="054D80"/>
              <w:right w:val="single" w:sz="4" w:color="054D80"/>
            </w:tcBorders>
          </w:tcPr>
          <w:p>
            <w:pPr>
              <w:spacing w:before="40" w:after="40"/>
            </w:pPr>
            <w:r>
              <w:rPr>
                <w:b/>
                <w:color w:val="FFFFFF"/>
                <w:sz w:val="20"/>
              </w:rPr>
              <w:t>Вартість (senior solo, $25-35/год)</w:t>
            </w:r>
          </w:p>
        </w:tc>
        <w:tc>
          <w:tcPr>
            <w:tcW w:type="dxa" w:w="2409"/>
            <w:vAlign w:val="center"/>
            <w:shd w:val="clear" w:color="auto" w:fill="066AAB"/>
            <w:tcBorders>
              <w:top w:val="single" w:sz="4" w:color="054D80"/>
              <w:left w:val="single" w:sz="4" w:color="054D80"/>
              <w:bottom w:val="single" w:sz="4" w:color="054D80"/>
              <w:right w:val="single" w:sz="4" w:color="054D80"/>
            </w:tcBorders>
          </w:tcPr>
          <w:p>
            <w:pPr>
              <w:spacing w:before="40" w:after="40"/>
            </w:pPr>
            <w:r>
              <w:rPr>
                <w:b/>
                <w:color w:val="FFFFFF"/>
                <w:sz w:val="20"/>
              </w:rPr>
              <w:t>Вартість (аутсорс-агенція з PM/QA, $40-55/год)</w:t>
            </w:r>
          </w:p>
        </w:tc>
      </w:tr>
      <w:tr>
        <w:tc>
          <w:tcPr>
            <w:tcW w:type="dxa" w:w="2409"/>
            <w:vAlign w:val="center"/>
            <w:tcBorders>
              <w:top w:val="single" w:sz="4" w:color="D5DAE0"/>
              <w:left w:val="single" w:sz="4" w:color="D5DAE0"/>
              <w:bottom w:val="single" w:sz="4" w:color="D5DAE0"/>
              <w:right w:val="single" w:sz="4" w:color="D5DAE0"/>
            </w:tcBorders>
          </w:tcPr>
          <w:p>
            <w:pPr>
              <w:spacing w:before="60" w:after="60"/>
            </w:pPr>
            <w:r>
              <w:rPr>
                <w:b w:val="0"/>
                <w:i w:val="0"/>
                <w:sz w:val="20"/>
              </w:rPr>
              <w:t>Що вже реалізовано (3 модулі у проді)</w:t>
            </w:r>
          </w:p>
        </w:tc>
        <w:tc>
          <w:tcPr>
            <w:tcW w:type="dxa" w:w="2409"/>
            <w:vAlign w:val="center"/>
            <w:tcBorders>
              <w:top w:val="single" w:sz="4" w:color="D5DAE0"/>
              <w:left w:val="single" w:sz="4" w:color="D5DAE0"/>
              <w:bottom w:val="single" w:sz="4" w:color="D5DAE0"/>
              <w:right w:val="single" w:sz="4" w:color="D5DAE0"/>
            </w:tcBorders>
          </w:tcPr>
          <w:p>
            <w:pPr>
              <w:spacing w:before="60" w:after="60"/>
            </w:pPr>
            <w:r>
              <w:rPr>
                <w:b w:val="0"/>
                <w:i w:val="0"/>
                <w:sz w:val="20"/>
              </w:rPr>
              <w:t>~500-700 годин</w:t>
            </w:r>
          </w:p>
        </w:tc>
        <w:tc>
          <w:tcPr>
            <w:tcW w:type="dxa" w:w="2409"/>
            <w:vAlign w:val="center"/>
            <w:tcBorders>
              <w:top w:val="single" w:sz="4" w:color="D5DAE0"/>
              <w:left w:val="single" w:sz="4" w:color="D5DAE0"/>
              <w:bottom w:val="single" w:sz="4" w:color="D5DAE0"/>
              <w:right w:val="single" w:sz="4" w:color="D5DAE0"/>
            </w:tcBorders>
          </w:tcPr>
          <w:p>
            <w:pPr>
              <w:spacing w:before="60" w:after="60"/>
            </w:pPr>
            <w:r>
              <w:rPr>
                <w:b w:val="0"/>
                <w:i w:val="0"/>
                <w:sz w:val="20"/>
              </w:rPr>
              <w:t>$12 500 - $24 500</w:t>
            </w:r>
          </w:p>
        </w:tc>
        <w:tc>
          <w:tcPr>
            <w:tcW w:type="dxa" w:w="2409"/>
            <w:vAlign w:val="center"/>
            <w:tcBorders>
              <w:top w:val="single" w:sz="4" w:color="D5DAE0"/>
              <w:left w:val="single" w:sz="4" w:color="D5DAE0"/>
              <w:bottom w:val="single" w:sz="4" w:color="D5DAE0"/>
              <w:right w:val="single" w:sz="4" w:color="D5DAE0"/>
            </w:tcBorders>
          </w:tcPr>
          <w:p>
            <w:pPr>
              <w:spacing w:before="60" w:after="60"/>
            </w:pPr>
            <w:r>
              <w:rPr>
                <w:b w:val="0"/>
                <w:i w:val="0"/>
                <w:sz w:val="20"/>
              </w:rPr>
              <w:t>$20 000 - $38 500</w:t>
            </w:r>
          </w:p>
        </w:tc>
      </w:tr>
      <w:tr>
        <w:tc>
          <w:tcPr>
            <w:tcW w:type="dxa" w:w="2409"/>
            <w:vAlign w:val="center"/>
            <w:tcBorders>
              <w:top w:val="single" w:sz="4" w:color="D5DAE0"/>
              <w:left w:val="single" w:sz="4" w:color="D5DAE0"/>
              <w:bottom w:val="single" w:sz="4" w:color="D5DAE0"/>
              <w:right w:val="single" w:sz="4" w:color="D5DAE0"/>
            </w:tcBorders>
            <w:shd w:val="clear" w:color="auto" w:fill="F8FAFC"/>
          </w:tcPr>
          <w:p>
            <w:pPr>
              <w:spacing w:before="60" w:after="60"/>
            </w:pPr>
            <w:r>
              <w:rPr>
                <w:b w:val="0"/>
                <w:i w:val="0"/>
                <w:sz w:val="20"/>
              </w:rPr>
              <w:t>CRM-розширення (4 нових модулі + перенесення зустрічей)</w:t>
            </w:r>
          </w:p>
        </w:tc>
        <w:tc>
          <w:tcPr>
            <w:tcW w:type="dxa" w:w="2409"/>
            <w:vAlign w:val="center"/>
            <w:tcBorders>
              <w:top w:val="single" w:sz="4" w:color="D5DAE0"/>
              <w:left w:val="single" w:sz="4" w:color="D5DAE0"/>
              <w:bottom w:val="single" w:sz="4" w:color="D5DAE0"/>
              <w:right w:val="single" w:sz="4" w:color="D5DAE0"/>
            </w:tcBorders>
            <w:shd w:val="clear" w:color="auto" w:fill="F8FAFC"/>
          </w:tcPr>
          <w:p>
            <w:pPr>
              <w:spacing w:before="60" w:after="60"/>
            </w:pPr>
            <w:r>
              <w:rPr>
                <w:b w:val="0"/>
                <w:i w:val="0"/>
                <w:sz w:val="20"/>
              </w:rPr>
              <w:t>~400-500 годин</w:t>
            </w:r>
          </w:p>
        </w:tc>
        <w:tc>
          <w:tcPr>
            <w:tcW w:type="dxa" w:w="2409"/>
            <w:vAlign w:val="center"/>
            <w:tcBorders>
              <w:top w:val="single" w:sz="4" w:color="D5DAE0"/>
              <w:left w:val="single" w:sz="4" w:color="D5DAE0"/>
              <w:bottom w:val="single" w:sz="4" w:color="D5DAE0"/>
              <w:right w:val="single" w:sz="4" w:color="D5DAE0"/>
            </w:tcBorders>
            <w:shd w:val="clear" w:color="auto" w:fill="F8FAFC"/>
          </w:tcPr>
          <w:p>
            <w:pPr>
              <w:spacing w:before="60" w:after="60"/>
            </w:pPr>
            <w:r>
              <w:rPr>
                <w:b w:val="0"/>
                <w:i w:val="0"/>
                <w:sz w:val="20"/>
              </w:rPr>
              <w:t>$10 000 - $17 500</w:t>
            </w:r>
          </w:p>
        </w:tc>
        <w:tc>
          <w:tcPr>
            <w:tcW w:type="dxa" w:w="2409"/>
            <w:vAlign w:val="center"/>
            <w:tcBorders>
              <w:top w:val="single" w:sz="4" w:color="D5DAE0"/>
              <w:left w:val="single" w:sz="4" w:color="D5DAE0"/>
              <w:bottom w:val="single" w:sz="4" w:color="D5DAE0"/>
              <w:right w:val="single" w:sz="4" w:color="D5DAE0"/>
            </w:tcBorders>
            <w:shd w:val="clear" w:color="auto" w:fill="F8FAFC"/>
          </w:tcPr>
          <w:p>
            <w:pPr>
              <w:spacing w:before="60" w:after="60"/>
            </w:pPr>
            <w:r>
              <w:rPr>
                <w:b w:val="0"/>
                <w:i w:val="0"/>
                <w:sz w:val="20"/>
              </w:rPr>
              <w:t>$16 000 - $27 500</w:t>
            </w:r>
          </w:p>
        </w:tc>
      </w:tr>
      <w:tr>
        <w:tc>
          <w:tcPr>
            <w:tcW w:type="dxa" w:w="2409"/>
            <w:vAlign w:val="center"/>
            <w:tcBorders>
              <w:top w:val="single" w:sz="4" w:color="D5DAE0"/>
              <w:left w:val="single" w:sz="4" w:color="D5DAE0"/>
              <w:bottom w:val="single" w:sz="4" w:color="D5DAE0"/>
              <w:right w:val="single" w:sz="4" w:color="D5DAE0"/>
            </w:tcBorders>
          </w:tcPr>
          <w:p>
            <w:pPr>
              <w:spacing w:before="60" w:after="60"/>
            </w:pPr>
            <w:r>
              <w:rPr>
                <w:b/>
                <w:i w:val="0"/>
                <w:sz w:val="20"/>
              </w:rPr>
              <w:t>Разом</w:t>
            </w:r>
          </w:p>
        </w:tc>
        <w:tc>
          <w:tcPr>
            <w:tcW w:type="dxa" w:w="2409"/>
            <w:vAlign w:val="center"/>
            <w:tcBorders>
              <w:top w:val="single" w:sz="4" w:color="D5DAE0"/>
              <w:left w:val="single" w:sz="4" w:color="D5DAE0"/>
              <w:bottom w:val="single" w:sz="4" w:color="D5DAE0"/>
              <w:right w:val="single" w:sz="4" w:color="D5DAE0"/>
            </w:tcBorders>
          </w:tcPr>
          <w:p>
            <w:pPr>
              <w:spacing w:before="60" w:after="60"/>
            </w:pPr>
            <w:r>
              <w:rPr>
                <w:b/>
                <w:i w:val="0"/>
                <w:sz w:val="20"/>
              </w:rPr>
              <w:t>~900-1200 годин</w:t>
            </w:r>
          </w:p>
        </w:tc>
        <w:tc>
          <w:tcPr>
            <w:tcW w:type="dxa" w:w="2409"/>
            <w:vAlign w:val="center"/>
            <w:tcBorders>
              <w:top w:val="single" w:sz="4" w:color="D5DAE0"/>
              <w:left w:val="single" w:sz="4" w:color="D5DAE0"/>
              <w:bottom w:val="single" w:sz="4" w:color="D5DAE0"/>
              <w:right w:val="single" w:sz="4" w:color="D5DAE0"/>
            </w:tcBorders>
          </w:tcPr>
          <w:p>
            <w:pPr>
              <w:spacing w:before="60" w:after="60"/>
            </w:pPr>
            <w:r>
              <w:rPr>
                <w:b/>
                <w:i w:val="0"/>
                <w:sz w:val="20"/>
              </w:rPr>
              <w:t>$22 500 - $42 000</w:t>
            </w:r>
          </w:p>
        </w:tc>
        <w:tc>
          <w:tcPr>
            <w:tcW w:type="dxa" w:w="2409"/>
            <w:vAlign w:val="center"/>
            <w:tcBorders>
              <w:top w:val="single" w:sz="4" w:color="D5DAE0"/>
              <w:left w:val="single" w:sz="4" w:color="D5DAE0"/>
              <w:bottom w:val="single" w:sz="4" w:color="D5DAE0"/>
              <w:right w:val="single" w:sz="4" w:color="D5DAE0"/>
            </w:tcBorders>
          </w:tcPr>
          <w:p>
            <w:pPr>
              <w:spacing w:before="60" w:after="60"/>
            </w:pPr>
            <w:r>
              <w:rPr>
                <w:b/>
                <w:i w:val="0"/>
                <w:sz w:val="20"/>
              </w:rPr>
              <w:t>$36 000 - $66 000</w:t>
            </w:r>
          </w:p>
        </w:tc>
      </w:tr>
    </w:tbl>
    <w:p>
      <w:pPr>
        <w:spacing w:after="80"/>
      </w:pPr>
    </w:p>
    <w:p>
      <w:r>
        <w:rPr>
          <w:b w:val="0"/>
          <w:i w:val="0"/>
        </w:rPr>
        <w:t>Цей проект виконується силами IT-відділу EMET — додаткових витрат на залучення зовнішніх підрядників не закладено.</w:t>
      </w:r>
    </w:p>
    <w:p>
      <w:pPr>
        <w:spacing w:before="80" w:after="80"/>
        <w:pBdr>
          <w:bottom w:val="single" w:sz="6" w:color="066AAB"/>
        </w:pBdr>
      </w:pPr>
    </w:p>
    <w:p>
      <w:pPr>
        <w:spacing w:before="280" w:after="120"/>
      </w:pPr>
      <w:r>
        <w:rPr>
          <w:b/>
          <w:color w:val="081E2D"/>
          <w:sz w:val="32"/>
        </w:rPr>
        <w:t>7. Хто виконує</w:t>
      </w:r>
    </w:p>
    <w:tbl>
      <w:tblPr>
        <w:tblW w:type="auto" w:w="0"/>
        <w:jc w:val="center"/>
        <w:tblLook w:firstColumn="1" w:firstRow="1" w:lastColumn="0" w:lastRow="0" w:noHBand="0" w:noVBand="1" w:val="04A0"/>
      </w:tblPr>
      <w:tblGrid>
        <w:gridCol w:w="4819"/>
        <w:gridCol w:w="4819"/>
      </w:tblGrid>
      <w:tr>
        <w:tc>
          <w:tcPr>
            <w:tcW w:type="dxa" w:w="4819"/>
            <w:vAlign w:val="center"/>
            <w:shd w:val="clear" w:color="auto" w:fill="066AAB"/>
            <w:tcBorders>
              <w:top w:val="single" w:sz="4" w:color="054D80"/>
              <w:left w:val="single" w:sz="4" w:color="054D80"/>
              <w:bottom w:val="single" w:sz="4" w:color="054D80"/>
              <w:right w:val="single" w:sz="4" w:color="054D80"/>
            </w:tcBorders>
          </w:tcPr>
          <w:p>
            <w:pPr>
              <w:spacing w:before="40" w:after="40"/>
            </w:pPr>
            <w:r>
              <w:rPr>
                <w:b/>
                <w:color w:val="FFFFFF"/>
                <w:sz w:val="20"/>
              </w:rPr>
              <w:t>Учасник</w:t>
            </w:r>
          </w:p>
        </w:tc>
        <w:tc>
          <w:tcPr>
            <w:tcW w:type="dxa" w:w="4819"/>
            <w:vAlign w:val="center"/>
            <w:shd w:val="clear" w:color="auto" w:fill="066AAB"/>
            <w:tcBorders>
              <w:top w:val="single" w:sz="4" w:color="054D80"/>
              <w:left w:val="single" w:sz="4" w:color="054D80"/>
              <w:bottom w:val="single" w:sz="4" w:color="054D80"/>
              <w:right w:val="single" w:sz="4" w:color="054D80"/>
            </w:tcBorders>
          </w:tcPr>
          <w:p>
            <w:pPr>
              <w:spacing w:before="40" w:after="40"/>
            </w:pPr>
            <w:r>
              <w:rPr>
                <w:b/>
                <w:color w:val="FFFFFF"/>
                <w:sz w:val="20"/>
              </w:rPr>
              <w:t>Що робить</w:t>
            </w:r>
          </w:p>
        </w:tc>
      </w:tr>
      <w:tr>
        <w:tc>
          <w:tcPr>
            <w:tcW w:type="dxa" w:w="4819"/>
            <w:vAlign w:val="center"/>
            <w:tcBorders>
              <w:top w:val="single" w:sz="4" w:color="D5DAE0"/>
              <w:left w:val="single" w:sz="4" w:color="D5DAE0"/>
              <w:bottom w:val="single" w:sz="4" w:color="D5DAE0"/>
              <w:right w:val="single" w:sz="4" w:color="D5DAE0"/>
            </w:tcBorders>
          </w:tcPr>
          <w:p>
            <w:pPr>
              <w:spacing w:before="60" w:after="60"/>
            </w:pPr>
            <w:r>
              <w:rPr>
                <w:b/>
                <w:i w:val="0"/>
                <w:sz w:val="20"/>
              </w:rPr>
              <w:t>IT Director EMET</w:t>
            </w:r>
          </w:p>
        </w:tc>
        <w:tc>
          <w:tcPr>
            <w:tcW w:type="dxa" w:w="4819"/>
            <w:vAlign w:val="center"/>
            <w:tcBorders>
              <w:top w:val="single" w:sz="4" w:color="D5DAE0"/>
              <w:left w:val="single" w:sz="4" w:color="D5DAE0"/>
              <w:bottom w:val="single" w:sz="4" w:color="D5DAE0"/>
              <w:right w:val="single" w:sz="4" w:color="D5DAE0"/>
            </w:tcBorders>
          </w:tcPr>
          <w:p>
            <w:pPr>
              <w:spacing w:before="60" w:after="60"/>
            </w:pPr>
            <w:r>
              <w:rPr>
                <w:b w:val="0"/>
                <w:i w:val="0"/>
                <w:sz w:val="20"/>
              </w:rPr>
              <w:t>Розробка інтерфейсу і всієї логіки CRM-блоків · підключення Supabase Pro і Sentry · інтеграція з Bitrix24 для блоку рекламацій · тестування критичних потоків перед кожним виходом блоку у роботу · координація з 1С-розробником</w:t>
            </w:r>
          </w:p>
        </w:tc>
      </w:tr>
      <w:tr>
        <w:tc>
          <w:tcPr>
            <w:tcW w:type="dxa" w:w="4819"/>
            <w:vAlign w:val="center"/>
            <w:tcBorders>
              <w:top w:val="single" w:sz="4" w:color="D5DAE0"/>
              <w:left w:val="single" w:sz="4" w:color="D5DAE0"/>
              <w:bottom w:val="single" w:sz="4" w:color="D5DAE0"/>
              <w:right w:val="single" w:sz="4" w:color="D5DAE0"/>
            </w:tcBorders>
            <w:shd w:val="clear" w:color="auto" w:fill="F8FAFC"/>
          </w:tcPr>
          <w:p>
            <w:pPr>
              <w:spacing w:before="60" w:after="60"/>
            </w:pPr>
            <w:r>
              <w:rPr>
                <w:b/>
                <w:i w:val="0"/>
                <w:sz w:val="20"/>
              </w:rPr>
              <w:t>1С-розробник EMET</w:t>
            </w:r>
          </w:p>
        </w:tc>
        <w:tc>
          <w:tcPr>
            <w:tcW w:type="dxa" w:w="4819"/>
            <w:vAlign w:val="center"/>
            <w:tcBorders>
              <w:top w:val="single" w:sz="4" w:color="D5DAE0"/>
              <w:left w:val="single" w:sz="4" w:color="D5DAE0"/>
              <w:bottom w:val="single" w:sz="4" w:color="D5DAE0"/>
              <w:right w:val="single" w:sz="4" w:color="D5DAE0"/>
            </w:tcBorders>
            <w:shd w:val="clear" w:color="auto" w:fill="F8FAFC"/>
          </w:tcPr>
          <w:p>
            <w:pPr>
              <w:spacing w:before="60" w:after="60"/>
            </w:pPr>
            <w:r>
              <w:rPr>
                <w:b w:val="0"/>
                <w:i w:val="0"/>
                <w:sz w:val="20"/>
              </w:rPr>
              <w:t>Реалізація 16 нових методів за специфікацією, розподілено по блоках протягом проекту</w:t>
            </w:r>
          </w:p>
        </w:tc>
      </w:tr>
    </w:tbl>
    <w:p>
      <w:pPr>
        <w:spacing w:after="80"/>
      </w:pPr>
    </w:p>
    <w:p>
      <w:pPr>
        <w:spacing w:before="80" w:after="80"/>
        <w:pBdr>
          <w:bottom w:val="single" w:sz="6" w:color="066AAB"/>
        </w:pBdr>
      </w:pPr>
    </w:p>
    <w:p>
      <w:pPr>
        <w:spacing w:before="280" w:after="120"/>
      </w:pPr>
      <w:r>
        <w:rPr>
          <w:b/>
          <w:color w:val="081E2D"/>
          <w:sz w:val="32"/>
        </w:rPr>
        <w:t>8. Що отримаємо на виході</w:t>
      </w:r>
    </w:p>
    <w:p>
      <w:pPr>
        <w:spacing w:before="200" w:after="80"/>
      </w:pPr>
      <w:r>
        <w:rPr>
          <w:b/>
          <w:color w:val="334155"/>
          <w:sz w:val="26"/>
        </w:rPr>
        <w:t>Результат для менеджера</w:t>
      </w:r>
    </w:p>
    <w:p>
      <w:pPr>
        <w:pStyle w:val="ListBullet"/>
        <w:spacing w:after="40"/>
        <w:ind w:left="340"/>
      </w:pPr>
      <w:r>
        <w:rPr>
          <w:b w:val="0"/>
          <w:i w:val="0"/>
        </w:rPr>
        <w:t>Менеджер виконує всю щоденну роботу у CRM з телефона або ноутбука у будь-якому місці</w:t>
      </w:r>
    </w:p>
    <w:p>
      <w:pPr>
        <w:pStyle w:val="ListBullet"/>
        <w:spacing w:after="40"/>
        <w:ind w:left="340"/>
      </w:pPr>
      <w:r>
        <w:rPr>
          <w:b w:val="0"/>
          <w:i w:val="0"/>
        </w:rPr>
        <w:t>Замовлення оформлюється прямо у клієнта на зустрічі, не повертаючись у офіс</w:t>
      </w:r>
    </w:p>
    <w:p>
      <w:pPr>
        <w:pStyle w:val="ListBullet"/>
        <w:spacing w:after="40"/>
        <w:ind w:left="340"/>
      </w:pPr>
      <w:r>
        <w:rPr>
          <w:b w:val="0"/>
          <w:i w:val="0"/>
        </w:rPr>
        <w:t>Історія покупок клієнта доступна одним тапом під час розмови</w:t>
      </w:r>
    </w:p>
    <w:p>
      <w:pPr>
        <w:pStyle w:val="ListBullet"/>
        <w:spacing w:after="40"/>
        <w:ind w:left="340"/>
      </w:pPr>
      <w:r>
        <w:rPr>
          <w:b w:val="0"/>
          <w:i w:val="0"/>
        </w:rPr>
        <w:t>Дебіторка клієнта видно на його картці одразу</w:t>
      </w:r>
    </w:p>
    <w:p>
      <w:pPr>
        <w:pStyle w:val="ListBullet"/>
        <w:spacing w:after="40"/>
        <w:ind w:left="340"/>
      </w:pPr>
      <w:r>
        <w:rPr>
          <w:b w:val="0"/>
          <w:i w:val="0"/>
        </w:rPr>
        <w:t>Рекламації ведуться у структурованій секції CRM замість Telegram-каналу</w:t>
      </w:r>
    </w:p>
    <w:p>
      <w:pPr>
        <w:pStyle w:val="ListBullet"/>
        <w:spacing w:after="40"/>
        <w:ind w:left="340"/>
      </w:pPr>
      <w:r>
        <w:rPr>
          <w:b w:val="0"/>
          <w:i w:val="0"/>
        </w:rPr>
        <w:t>Зустрічі фіксуються з геолокацією без зайвих кроків</w:t>
      </w:r>
    </w:p>
    <w:p>
      <w:pPr>
        <w:pStyle w:val="ListBullet"/>
        <w:spacing w:after="40"/>
        <w:ind w:left="340"/>
      </w:pPr>
      <w:r>
        <w:rPr>
          <w:b w:val="0"/>
          <w:i w:val="0"/>
        </w:rPr>
        <w:t>Доступ до 1С менеджеру більше не потрібен у щоденній роботі</w:t>
      </w:r>
    </w:p>
    <w:p>
      <w:pPr>
        <w:spacing w:before="200" w:after="80"/>
      </w:pPr>
      <w:r>
        <w:rPr>
          <w:b/>
          <w:color w:val="334155"/>
          <w:sz w:val="26"/>
        </w:rPr>
        <w:t>Результат для керівництва</w:t>
      </w:r>
    </w:p>
    <w:p>
      <w:pPr>
        <w:pStyle w:val="ListBullet"/>
        <w:spacing w:after="40"/>
        <w:ind w:left="340"/>
      </w:pPr>
      <w:r>
        <w:rPr>
          <w:b w:val="0"/>
          <w:i w:val="0"/>
        </w:rPr>
        <w:t>Живі аналітичні віджети у системі замість ручних Excel-вивантажень</w:t>
      </w:r>
    </w:p>
    <w:p>
      <w:pPr>
        <w:pStyle w:val="ListBullet"/>
        <w:spacing w:after="40"/>
        <w:ind w:left="340"/>
      </w:pPr>
      <w:r>
        <w:rPr>
          <w:b w:val="0"/>
          <w:i w:val="0"/>
        </w:rPr>
        <w:t>Автоматичний розрахунок переможців конкурсу «Найкращий менеджер по ТМ» за діючими умовами, з виключенням закупок спікерів і фільтрами по виконанню планів</w:t>
      </w:r>
    </w:p>
    <w:p>
      <w:pPr>
        <w:pStyle w:val="ListBullet"/>
        <w:spacing w:after="40"/>
        <w:ind w:left="340"/>
      </w:pPr>
      <w:r>
        <w:rPr>
          <w:b w:val="0"/>
          <w:i w:val="0"/>
        </w:rPr>
        <w:t>Деталізація продажів по клієнтах — для звітів і прийняття рішень</w:t>
      </w:r>
    </w:p>
    <w:p>
      <w:pPr>
        <w:pStyle w:val="ListBullet"/>
        <w:spacing w:after="40"/>
        <w:ind w:left="340"/>
      </w:pPr>
      <w:r>
        <w:rPr>
          <w:b w:val="0"/>
          <w:i w:val="0"/>
        </w:rPr>
        <w:t>Огляд дебіторки і її aging — без походів у 1С</w:t>
      </w:r>
    </w:p>
    <w:p>
      <w:pPr>
        <w:spacing w:before="200" w:after="80"/>
      </w:pPr>
      <w:r>
        <w:rPr>
          <w:b/>
          <w:color w:val="334155"/>
          <w:sz w:val="26"/>
        </w:rPr>
        <w:t>Результат для системи</w:t>
      </w:r>
    </w:p>
    <w:p>
      <w:pPr>
        <w:pStyle w:val="ListBullet"/>
        <w:spacing w:after="40"/>
        <w:ind w:left="340"/>
      </w:pPr>
      <w:r>
        <w:rPr>
          <w:b w:val="0"/>
          <w:i w:val="0"/>
        </w:rPr>
        <w:t>6 робочих модулів у CRM (3 існуючих + 4 нових/перенесених)</w:t>
      </w:r>
    </w:p>
    <w:p>
      <w:pPr>
        <w:pStyle w:val="ListBullet"/>
        <w:spacing w:after="40"/>
        <w:ind w:left="340"/>
      </w:pPr>
      <w:r>
        <w:rPr>
          <w:b w:val="0"/>
          <w:i w:val="0"/>
        </w:rPr>
        <w:t>Захист фінансово-чутливих даних через політики доступу і резервне копіювання</w:t>
      </w:r>
    </w:p>
    <w:p>
      <w:pPr>
        <w:pStyle w:val="ListBullet"/>
        <w:spacing w:after="40"/>
        <w:ind w:left="340"/>
      </w:pPr>
      <w:r>
        <w:rPr>
          <w:b w:val="0"/>
          <w:i w:val="0"/>
        </w:rPr>
        <w:t>Моніторинг помилок у роботі через Sentry</w:t>
      </w:r>
    </w:p>
    <w:p>
      <w:pPr>
        <w:pStyle w:val="ListBullet"/>
        <w:spacing w:after="40"/>
        <w:ind w:left="340"/>
      </w:pPr>
      <w:r>
        <w:rPr>
          <w:b w:val="0"/>
          <w:i w:val="0"/>
        </w:rPr>
        <w:t>Документація проекту з реєстром рішень фіксує контекст для подальшого розвитку</w:t>
      </w:r>
    </w:p>
    <w:p>
      <w:pPr>
        <w:pStyle w:val="ListBullet"/>
        <w:spacing w:after="40"/>
        <w:ind w:left="340"/>
      </w:pPr>
      <w:r>
        <w:rPr>
          <w:b w:val="0"/>
          <w:i w:val="0"/>
        </w:rPr>
        <w:t>Архітектура з буферною синхронізацією масштабується для додавання нових модулів без переробки</w:t>
      </w:r>
    </w:p>
    <w:p>
      <w:pPr>
        <w:spacing w:before="80" w:after="80"/>
        <w:pBdr>
          <w:bottom w:val="single" w:sz="6" w:color="066AAB"/>
        </w:pBdr>
      </w:pPr>
    </w:p>
    <w:p>
      <w:pPr>
        <w:spacing w:before="280" w:after="120"/>
      </w:pPr>
      <w:r>
        <w:rPr>
          <w:b/>
          <w:color w:val="081E2D"/>
          <w:sz w:val="32"/>
        </w:rPr>
        <w:t>Підсумок</w:t>
      </w:r>
    </w:p>
    <w:p>
      <w:r>
        <w:rPr>
          <w:b w:val="0"/>
          <w:i w:val="0"/>
        </w:rPr>
        <w:t>Розширення перетворює Sales Planning з інструмента місячного планування у повноцінну операційну CRM відділу продажу. Менеджер виконує всю щоденну роботу з телефона у полі; керівництво отримує живу аналітику без ручних викладок з 1С. Проект виконується силами IT-відділу EMET без залучення підрядників, з інфраструктурними витратами $612/рік.</w:t>
      </w:r>
    </w:p>
    <w:p>
      <w:pPr>
        <w:spacing w:before="80" w:after="80"/>
        <w:pBdr>
          <w:bottom w:val="single" w:sz="6" w:color="066AAB"/>
        </w:pBdr>
      </w:pPr>
    </w:p>
    <w:p>
      <w:pPr>
        <w:spacing w:before="160"/>
      </w:pPr>
      <w:r>
        <w:rPr>
          <w:i/>
          <w:color w:val="64748B"/>
          <w:sz w:val="20"/>
        </w:rPr>
        <w:t>Поточна версія 8.1 (2026-06-02). Документ оновлюється при будь-якому значному уточненні.</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081E2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