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color w:val="000000"/>
        </w:rPr>
      </w:pPr>
      <w:r w:rsidDel="00000000" w:rsidR="00000000" w:rsidRPr="00000000">
        <w:rPr>
          <w:rFonts w:ascii="Avenir" w:cs="Avenir" w:eastAsia="Avenir" w:hAnsi="Avenir"/>
          <w:color w:val="000000"/>
          <w:sz w:val="22"/>
          <w:szCs w:val="22"/>
          <w:rtl w:val="0"/>
        </w:rPr>
        <w:t xml:space="preserve">Universidad Nacional Autónoma de México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-96518</wp:posOffset>
            </wp:positionH>
            <wp:positionV relativeFrom="paragraph">
              <wp:posOffset>0</wp:posOffset>
            </wp:positionV>
            <wp:extent cx="2128677" cy="1192679"/>
            <wp:effectExtent b="0" l="0" r="0" t="0"/>
            <wp:wrapSquare wrapText="bothSides" distB="0" distT="0" distL="114300" distR="114300"/>
            <wp:docPr descr="A picture containing text, outdoor, sign&#10;&#10;Description automatically generated" id="1" name="image2.png"/>
            <a:graphic>
              <a:graphicData uri="http://schemas.openxmlformats.org/drawingml/2006/picture">
                <pic:pic>
                  <pic:nvPicPr>
                    <pic:cNvPr descr="A picture containing text, outdoor, sign&#10;&#10;Description automatically generat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677" cy="11926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color w:val="000000"/>
          <w:sz w:val="22"/>
          <w:szCs w:val="22"/>
          <w:rtl w:val="0"/>
        </w:rPr>
        <w:t xml:space="preserve">Escuela Nacional de Estudios Superiores Unidad Mérida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color w:val="000000"/>
          <w:sz w:val="22"/>
          <w:szCs w:val="22"/>
          <w:rtl w:val="0"/>
        </w:rPr>
        <w:t xml:space="preserve">Licenciatura en Geografía Aplicada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color w:val="000000"/>
          <w:sz w:val="22"/>
          <w:szCs w:val="22"/>
          <w:rtl w:val="0"/>
        </w:rPr>
        <w:t xml:space="preserve">Semestre 2024-1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rFonts w:ascii="Avenir" w:cs="Avenir" w:eastAsia="Avenir" w:hAnsi="Avenir"/>
          <w:b w:val="1"/>
          <w:color w:val="000000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b w:val="1"/>
          <w:color w:val="000000"/>
          <w:sz w:val="22"/>
          <w:szCs w:val="22"/>
          <w:rtl w:val="0"/>
        </w:rPr>
        <w:t xml:space="preserve">Riesgo de desastres: Fundamentos teóricos y metodológicos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color w:val="000000"/>
          <w:sz w:val="22"/>
          <w:szCs w:val="22"/>
          <w:rtl w:val="0"/>
        </w:rPr>
        <w:t xml:space="preserve">Profa. Dra. Bertha Hernández Aguilar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color w:val="000000"/>
          <w:sz w:val="22"/>
          <w:szCs w:val="22"/>
          <w:rtl w:val="0"/>
        </w:rPr>
        <w:t xml:space="preserve">Profa. Mtra. Rosa Martha Peralta Blanco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Avenir" w:cs="Avenir" w:eastAsia="Avenir" w:hAnsi="Avenir"/>
          <w:color w:val="143b3b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Avenir" w:cs="Avenir" w:eastAsia="Avenir" w:hAnsi="Avenir"/>
          <w:b w:val="1"/>
          <w:color w:val="143b3b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b w:val="1"/>
          <w:color w:val="143b3b"/>
          <w:sz w:val="22"/>
          <w:szCs w:val="22"/>
          <w:rtl w:val="0"/>
        </w:rPr>
        <w:t xml:space="preserve">ACTIVIDAD ASÍNCRONA 5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Avenir" w:cs="Avenir" w:eastAsia="Avenir" w:hAnsi="Avenir"/>
          <w:b w:val="1"/>
          <w:color w:val="143b3b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b w:val="1"/>
          <w:color w:val="143b3b"/>
          <w:sz w:val="22"/>
          <w:szCs w:val="22"/>
          <w:rtl w:val="0"/>
        </w:rPr>
        <w:t xml:space="preserve">IDENTIFICACIÓN DE LA AMENAZA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Avenir" w:cs="Avenir" w:eastAsia="Avenir" w:hAnsi="Avenir"/>
          <w:color w:val="143b3b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color w:val="143b3b"/>
          <w:sz w:val="22"/>
          <w:szCs w:val="22"/>
          <w:rtl w:val="0"/>
        </w:rPr>
        <w:t xml:space="preserve">Lunes 4 de septiembre de 2023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Avenir" w:cs="Avenir" w:eastAsia="Avenir" w:hAnsi="Avenir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JasmineUPC" w:cs="JasmineUPC" w:eastAsia="JasmineUPC" w:hAnsi="JasmineUPC"/>
          <w:b w:val="1"/>
          <w:color w:val="143b3b"/>
          <w:sz w:val="44"/>
          <w:szCs w:val="44"/>
        </w:rPr>
      </w:pPr>
      <w:r w:rsidDel="00000000" w:rsidR="00000000" w:rsidRPr="00000000">
        <w:rPr>
          <w:rFonts w:ascii="JasmineUPC" w:cs="JasmineUPC" w:eastAsia="JasmineUPC" w:hAnsi="JasmineUPC"/>
          <w:b w:val="1"/>
          <w:color w:val="143b3b"/>
          <w:sz w:val="44"/>
          <w:szCs w:val="44"/>
          <w:rtl w:val="0"/>
        </w:rPr>
        <w:t xml:space="preserve">Instrucciones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JasmineUPC" w:cs="JasmineUPC" w:eastAsia="JasmineUPC" w:hAnsi="JasmineUPC"/>
          <w:b w:val="1"/>
          <w:color w:val="143b3b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color w:val="000000"/>
          <w:sz w:val="22"/>
          <w:szCs w:val="22"/>
          <w:rtl w:val="0"/>
        </w:rPr>
        <w:t xml:space="preserve">Esta actividad tiene como objetivo identificar preliminarmente las amenazas potenciales del municipio de Tekax, específicamente su cabecera municipal.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color w:val="000000"/>
          <w:sz w:val="22"/>
          <w:szCs w:val="22"/>
          <w:rtl w:val="0"/>
        </w:rPr>
        <w:t xml:space="preserve">Para ello se realizará una búsqueda hemerográfica de por lo menos 2 amenazas ocurridas en el área de estudio (previa repartición) A partir de ello se llenará el cuadro que se presenta en la siguiente página.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99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555"/>
        <w:gridCol w:w="1559"/>
        <w:gridCol w:w="3685"/>
        <w:tblGridChange w:id="0">
          <w:tblGrid>
            <w:gridCol w:w="1555"/>
            <w:gridCol w:w="1559"/>
            <w:gridCol w:w="368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2"/>
                <w:szCs w:val="22"/>
                <w:rtl w:val="0"/>
              </w:rPr>
              <w:t xml:space="preserve">ANTONIO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Inundación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Sequía</w:t>
            </w:r>
          </w:p>
        </w:tc>
      </w:tr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2"/>
                <w:szCs w:val="22"/>
                <w:rtl w:val="0"/>
              </w:rPr>
              <w:t xml:space="preserve">PABLO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Inundación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Remoción en masa</w:t>
            </w:r>
          </w:p>
        </w:tc>
      </w:tr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2"/>
                <w:szCs w:val="22"/>
                <w:rtl w:val="0"/>
              </w:rPr>
              <w:t xml:space="preserve">EMI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Inundación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Incendio forestal / otros incendios</w:t>
            </w:r>
          </w:p>
        </w:tc>
      </w:tr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2"/>
                <w:szCs w:val="22"/>
                <w:rtl w:val="0"/>
              </w:rPr>
              <w:t xml:space="preserve">ROBERTO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Inundación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Tormenta</w:t>
            </w:r>
          </w:p>
        </w:tc>
      </w:tr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2"/>
                <w:szCs w:val="22"/>
                <w:rtl w:val="0"/>
              </w:rPr>
              <w:t xml:space="preserve">CAROLINA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Inundación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2"/>
                <w:szCs w:val="22"/>
                <w:rtl w:val="0"/>
              </w:rPr>
              <w:t xml:space="preserve">Ola de calor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b w:val="1"/>
          <w:color w:val="000000"/>
          <w:sz w:val="22"/>
          <w:szCs w:val="22"/>
          <w:highlight w:val="yellow"/>
          <w:rtl w:val="0"/>
        </w:rPr>
        <w:t xml:space="preserve">NOTA</w:t>
      </w:r>
      <w:r w:rsidDel="00000000" w:rsidR="00000000" w:rsidRPr="00000000">
        <w:rPr>
          <w:rFonts w:ascii="Avenir" w:cs="Avenir" w:eastAsia="Avenir" w:hAnsi="Avenir"/>
          <w:color w:val="000000"/>
          <w:sz w:val="22"/>
          <w:szCs w:val="22"/>
          <w:rtl w:val="0"/>
        </w:rPr>
        <w:t xml:space="preserve">: Recuerde agregar la fuente de consulta en formato APA al final del documento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color w:val="000000"/>
          <w:sz w:val="22"/>
          <w:szCs w:val="22"/>
          <w:rtl w:val="0"/>
        </w:rPr>
        <w:t xml:space="preserve">GUÍA DE LLENADO: Manual para la elaboración de mapas de riesgo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color w:val="000000"/>
          <w:sz w:val="22"/>
          <w:szCs w:val="22"/>
        </w:rPr>
        <w:drawing>
          <wp:inline distB="0" distT="0" distL="0" distR="0">
            <wp:extent cx="6234808" cy="6592463"/>
            <wp:effectExtent b="0" l="0" r="0" t="0"/>
            <wp:docPr descr="A chart with text and symbols&#10;&#10;Description automatically generated with medium confidence" id="2" name="image1.png"/>
            <a:graphic>
              <a:graphicData uri="http://schemas.openxmlformats.org/drawingml/2006/picture">
                <pic:pic>
                  <pic:nvPicPr>
                    <pic:cNvPr descr="A chart with text and symbols&#10;&#10;Description automatically generated with medium confidenc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808" cy="659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PNUD. Programa Naciones Unidas para el Desarrollo. (2017). Manual para la elaboración de mapas de riesgo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venir" w:cs="Avenir" w:eastAsia="Avenir" w:hAnsi="Avenir"/>
          <w:color w:val="000000"/>
          <w:sz w:val="22"/>
          <w:szCs w:val="22"/>
        </w:rPr>
        <w:sectPr>
          <w:footerReference r:id="rId8" w:type="default"/>
          <w:footerReference r:id="rId9" w:type="first"/>
          <w:pgSz w:h="15840" w:w="12240" w:orient="portrait"/>
          <w:pgMar w:bottom="1474" w:top="1134" w:left="1134" w:right="1134" w:header="720" w:footer="1134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469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203"/>
        <w:gridCol w:w="5022"/>
        <w:gridCol w:w="5244"/>
        <w:tblGridChange w:id="0">
          <w:tblGrid>
            <w:gridCol w:w="2203"/>
            <w:gridCol w:w="5022"/>
            <w:gridCol w:w="5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262626"/>
                <w:sz w:val="20"/>
                <w:szCs w:val="20"/>
                <w:rtl w:val="0"/>
              </w:rPr>
              <w:t xml:space="preserve">Inundación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262626"/>
                <w:sz w:val="20"/>
                <w:szCs w:val="20"/>
                <w:rtl w:val="0"/>
              </w:rPr>
              <w:t xml:space="preserve">Incendio en el sur de Yucatán (2023)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262626"/>
                <w:sz w:val="20"/>
                <w:szCs w:val="20"/>
                <w:rtl w:val="0"/>
              </w:rPr>
              <w:t xml:space="preserve">Origen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262626"/>
                <w:sz w:val="20"/>
                <w:szCs w:val="20"/>
                <w:rtl w:val="0"/>
              </w:rPr>
              <w:t xml:space="preserve">Huracán Grace (2021)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262626"/>
                <w:sz w:val="20"/>
                <w:szCs w:val="20"/>
                <w:rtl w:val="0"/>
              </w:rPr>
              <w:t xml:space="preserve">Quema de basura, colillas de cigarros y botellas de vidrio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262626"/>
                <w:sz w:val="20"/>
                <w:szCs w:val="20"/>
                <w:rtl w:val="0"/>
              </w:rPr>
              <w:t xml:space="preserve">Magnitud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262626"/>
                <w:sz w:val="20"/>
                <w:szCs w:val="20"/>
                <w:rtl w:val="0"/>
              </w:rPr>
              <w:t xml:space="preserve">Fuerza con la que manifiesta el agente productor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262626"/>
                <w:sz w:val="20"/>
                <w:szCs w:val="20"/>
                <w:rtl w:val="0"/>
              </w:rPr>
              <w:t xml:space="preserve">3,000 hectáreas se quemaron entre los municipios de Celestún, Motul, Tekax, Mérida y Valladolid. Incluyendo zonas ganaderas y henequeneras.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262626"/>
                <w:sz w:val="20"/>
                <w:szCs w:val="20"/>
                <w:rtl w:val="0"/>
              </w:rPr>
              <w:t xml:space="preserve">Duración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262626"/>
                <w:sz w:val="20"/>
                <w:szCs w:val="20"/>
                <w:rtl w:val="0"/>
              </w:rPr>
              <w:t xml:space="preserve">Tiempo de manifestación del evento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262626"/>
                <w:sz w:val="20"/>
                <w:szCs w:val="20"/>
                <w:rtl w:val="0"/>
              </w:rPr>
              <w:t xml:space="preserve">24 horass el 19 de agosto de 2021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262626"/>
                <w:sz w:val="20"/>
                <w:szCs w:val="20"/>
                <w:rtl w:val="0"/>
              </w:rPr>
              <w:t xml:space="preserve">Tres meses.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262626"/>
                <w:sz w:val="20"/>
                <w:szCs w:val="20"/>
                <w:rtl w:val="0"/>
              </w:rPr>
              <w:t xml:space="preserve">Extensión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262626"/>
                <w:sz w:val="20"/>
                <w:szCs w:val="20"/>
                <w:rtl w:val="0"/>
              </w:rPr>
              <w:t xml:space="preserve">Tamaño del evento (superficie)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262626"/>
                <w:sz w:val="20"/>
                <w:szCs w:val="20"/>
                <w:rtl w:val="0"/>
              </w:rPr>
              <w:t xml:space="preserve">La zona de Noc-Tunic y Noc-Tunich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262626"/>
                <w:sz w:val="20"/>
                <w:szCs w:val="20"/>
                <w:rtl w:val="0"/>
              </w:rPr>
              <w:t xml:space="preserve">3 mil hectáreas en total.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262626"/>
                <w:sz w:val="20"/>
                <w:szCs w:val="20"/>
                <w:rtl w:val="0"/>
              </w:rPr>
              <w:t xml:space="preserve">Intensidad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262626"/>
                <w:sz w:val="20"/>
                <w:szCs w:val="20"/>
                <w:rtl w:val="0"/>
              </w:rPr>
              <w:t xml:space="preserve">Medida cuali o cuanti de la severidad de un evento en un sitio dado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262626"/>
                <w:sz w:val="20"/>
                <w:szCs w:val="20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262626"/>
                <w:sz w:val="20"/>
                <w:szCs w:val="20"/>
                <w:rtl w:val="0"/>
              </w:rPr>
              <w:t xml:space="preserve">Dimensión del daño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262626"/>
                <w:sz w:val="20"/>
                <w:szCs w:val="20"/>
                <w:rtl w:val="0"/>
              </w:rPr>
              <w:t xml:space="preserve">Lluvias fuertes con vientos de hasta 100 km/h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262626"/>
                <w:sz w:val="20"/>
                <w:szCs w:val="20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262626"/>
                <w:sz w:val="20"/>
                <w:szCs w:val="20"/>
                <w:rtl w:val="0"/>
              </w:rPr>
              <w:t xml:space="preserve">Cada cuanto tiempo se manifiesta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262626"/>
                <w:sz w:val="20"/>
                <w:szCs w:val="20"/>
                <w:rtl w:val="0"/>
              </w:rPr>
              <w:t xml:space="preserve">Temporada de lluvias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262626"/>
                <w:sz w:val="20"/>
                <w:szCs w:val="20"/>
                <w:rtl w:val="0"/>
              </w:rPr>
              <w:t xml:space="preserve">Ocurre constantemente en todo el año debido a actividad humana.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262626"/>
                <w:sz w:val="20"/>
                <w:szCs w:val="20"/>
                <w:rtl w:val="0"/>
              </w:rPr>
              <w:t xml:space="preserve">Recurrencia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262626"/>
                <w:sz w:val="20"/>
                <w:szCs w:val="20"/>
                <w:rtl w:val="0"/>
              </w:rPr>
              <w:t xml:space="preserve">Veces que el agente productor se manifiesta por encima de un umbral de magnitud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262626"/>
                <w:sz w:val="20"/>
                <w:szCs w:val="20"/>
                <w:rtl w:val="0"/>
              </w:rPr>
              <w:t xml:space="preserve">En temporada de huracanes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color w:val="262626"/>
                <w:sz w:val="20"/>
                <w:szCs w:val="20"/>
                <w:rtl w:val="0"/>
              </w:rPr>
              <w:t xml:space="preserve">Anualmente durante los meses de calor (marzo, abril y Mayo)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Avenir" w:cs="Avenir" w:eastAsia="Avenir" w:hAnsi="Avenir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Bibliografía</w:t>
      </w:r>
    </w:p>
    <w:p w:rsidR="00000000" w:rsidDel="00000000" w:rsidP="00000000" w:rsidRDefault="00000000" w:rsidRPr="00000000" w14:paraId="0000005C">
      <w:pPr>
        <w:spacing w:line="360" w:lineRule="auto"/>
        <w:ind w:hanging="48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Méndez Escobedo, E. (2021).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Inundaciones en Tekax por el paso de “‘Grace.’”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https://www.yucatan.com.mx/yucatan/2021/8/19/inundaciones-en-tekax-por-el-paso-de-grace-269192.html</w:t>
      </w:r>
    </w:p>
    <w:p w:rsidR="00000000" w:rsidDel="00000000" w:rsidP="00000000" w:rsidRDefault="00000000" w:rsidRPr="00000000" w14:paraId="0000005D">
      <w:pPr>
        <w:spacing w:line="360" w:lineRule="auto"/>
        <w:ind w:hanging="48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Ruvalcaba, A. (2023).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Yucatán. Más de 3 mil hectáreas afectadas por mil 374 incendios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https://www.milenio.com/estados/yucatan-3-mil-hectareas-afectadas-mil-374-incendios</w:t>
      </w:r>
    </w:p>
    <w:p w:rsidR="00000000" w:rsidDel="00000000" w:rsidP="00000000" w:rsidRDefault="00000000" w:rsidRPr="00000000" w14:paraId="0000005E">
      <w:pPr>
        <w:spacing w:line="360" w:lineRule="auto"/>
        <w:ind w:hanging="48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Tun, J. (2021).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Por Grace, se deslava cerro en Tekax, Yucatán; inunda casas: VIDEO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https://www.poresto.net/yucatan/2021/8/19/por-grace-se-deslava-cerro-en-tekax-yucatan-inunda-casas-video-273264.html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134" w:top="1134" w:left="1474" w:right="1134" w:header="720" w:footer="1134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JasmineUPC"/>
  <w:font w:name="Times New Roman"/>
  <w:font w:name="FreeSans"/>
  <w:font w:name="Liberation Serif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986"/>
        <w:tab w:val="right" w:leader="none" w:pos="9972"/>
      </w:tabs>
      <w:rPr>
        <w:rFonts w:ascii="FreeSans" w:cs="FreeSans" w:eastAsia="FreeSans" w:hAnsi="FreeSans"/>
        <w:color w:val="333333"/>
        <w:sz w:val="20"/>
        <w:szCs w:val="20"/>
      </w:rPr>
    </w:pPr>
    <w:r w:rsidDel="00000000" w:rsidR="00000000" w:rsidRPr="00000000">
      <w:rPr>
        <w:rFonts w:ascii="FreeSans" w:cs="FreeSans" w:eastAsia="FreeSans" w:hAnsi="FreeSans"/>
        <w:color w:val="333333"/>
        <w:sz w:val="20"/>
        <w:szCs w:val="20"/>
        <w:rtl w:val="0"/>
      </w:rPr>
      <w:t xml:space="preserve">Riesgo de desastres: Fundamentos teóricos y metodológicos</w:t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986"/>
        <w:tab w:val="right" w:leader="none" w:pos="9972"/>
      </w:tabs>
      <w:rPr>
        <w:color w:val="000000"/>
      </w:rPr>
    </w:pPr>
    <w:r w:rsidDel="00000000" w:rsidR="00000000" w:rsidRPr="00000000">
      <w:rPr>
        <w:rFonts w:ascii="FreeSans" w:cs="FreeSans" w:eastAsia="FreeSans" w:hAnsi="FreeSans"/>
        <w:color w:val="333333"/>
        <w:sz w:val="20"/>
        <w:szCs w:val="20"/>
        <w:rtl w:val="0"/>
      </w:rPr>
      <w:t xml:space="preserve">Dra. Bertha Hernández Aguilar</w:t>
      <w:tab/>
      <w:tab/>
    </w:r>
    <w:r w:rsidDel="00000000" w:rsidR="00000000" w:rsidRPr="00000000">
      <w:rPr>
        <w:rFonts w:ascii="FreeSans" w:cs="FreeSans" w:eastAsia="FreeSans" w:hAnsi="FreeSans"/>
        <w:b w:val="1"/>
        <w:color w:val="000000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986"/>
        <w:tab w:val="right" w:leader="none" w:pos="9972"/>
      </w:tabs>
      <w:rPr>
        <w:rFonts w:ascii="FreeSans" w:cs="FreeSans" w:eastAsia="FreeSans" w:hAnsi="FreeSans"/>
        <w:color w:val="000000"/>
        <w:sz w:val="20"/>
        <w:szCs w:val="20"/>
      </w:rPr>
    </w:pPr>
    <w:r w:rsidDel="00000000" w:rsidR="00000000" w:rsidRPr="00000000">
      <w:rPr>
        <w:rFonts w:ascii="FreeSans" w:cs="FreeSans" w:eastAsia="FreeSans" w:hAnsi="FreeSans"/>
        <w:color w:val="333333"/>
        <w:sz w:val="20"/>
        <w:szCs w:val="20"/>
        <w:rtl w:val="0"/>
      </w:rPr>
      <w:t xml:space="preserve">Mtra. Rosa Martha Peralta Blanco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986"/>
        <w:tab w:val="right" w:leader="none" w:pos="9972"/>
      </w:tabs>
      <w:rPr>
        <w:rFonts w:ascii="FreeSans" w:cs="FreeSans" w:eastAsia="FreeSans" w:hAnsi="FreeSans"/>
        <w:color w:val="333333"/>
        <w:sz w:val="20"/>
        <w:szCs w:val="20"/>
      </w:rPr>
    </w:pPr>
    <w:r w:rsidDel="00000000" w:rsidR="00000000" w:rsidRPr="00000000">
      <w:rPr>
        <w:rFonts w:ascii="FreeSans" w:cs="FreeSans" w:eastAsia="FreeSans" w:hAnsi="FreeSans"/>
        <w:color w:val="333333"/>
        <w:sz w:val="20"/>
        <w:szCs w:val="20"/>
        <w:rtl w:val="0"/>
      </w:rPr>
      <w:t xml:space="preserve">Riesgo de desastres: Fundamentos teóricos y metodológicos</w:t>
      <w:tab/>
      <w:tab/>
    </w:r>
    <w:r w:rsidDel="00000000" w:rsidR="00000000" w:rsidRPr="00000000">
      <w:rPr>
        <w:rFonts w:ascii="FreeSans" w:cs="FreeSans" w:eastAsia="FreeSans" w:hAnsi="FreeSans"/>
        <w:b w:val="1"/>
        <w:color w:val="000000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986"/>
        <w:tab w:val="right" w:leader="none" w:pos="9972"/>
      </w:tabs>
      <w:rPr>
        <w:rFonts w:ascii="FreeSans" w:cs="FreeSans" w:eastAsia="FreeSans" w:hAnsi="FreeSans"/>
        <w:color w:val="000000"/>
        <w:sz w:val="20"/>
        <w:szCs w:val="20"/>
      </w:rPr>
    </w:pPr>
    <w:r w:rsidDel="00000000" w:rsidR="00000000" w:rsidRPr="00000000">
      <w:rPr>
        <w:rFonts w:ascii="FreeSans" w:cs="FreeSans" w:eastAsia="FreeSans" w:hAnsi="FreeSans"/>
        <w:color w:val="333333"/>
        <w:sz w:val="20"/>
        <w:szCs w:val="20"/>
        <w:rtl w:val="0"/>
      </w:rPr>
      <w:t xml:space="preserve">Mtra. Rosa Martha Peralta Blanco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eded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eded" w:val="clear"/>
    </w:tcPr>
    <w:tblStylePr w:type="band1Horz">
      <w:tcPr>
        <w:shd w:fill="dbdbdb" w:val="clear"/>
      </w:tcPr>
    </w:tblStylePr>
    <w:tblStylePr w:type="band1Vert">
      <w:tcPr>
        <w:shd w:fill="dbdbdb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a5a5a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a5a5a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