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Acta de Reunión</w:t>
            </w:r>
          </w:p>
        </w:tc>
        <w:tc>
          <w:tcPr>
            <w:tcW w:type="dxa" w:w="2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Acta No 001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Proyecto - Sprint: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AP-ATI — Anteproyecto (Sprint 1). Relevamiento grupo foco, segmento Personal Trainers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Lugar/Medio: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Entrevista estructurada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y Hora:</w:t>
            </w:r>
          </w:p>
        </w:tc>
        <w:tc>
          <w:tcPr>
            <w:tcW w:type="dxa" w:w="6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31/08/2026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Asistentes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 desarrollo</w:t>
            </w:r>
          </w:p>
        </w:tc>
      </w:tr>
      <w:tr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Pablo — Personal trainer en ejercicio, 20 años de experiencia, 15 alumnos particulares activos</w:t>
            </w:r>
          </w:p>
        </w:tc>
        <w:tc>
          <w:tcPr>
            <w:tcW w:type="dxa" w:w="46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Emiliano Olivera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Temas Tratados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Contexto y forma de trabajo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Entrena en casas de los clientes o en gimnasio propio. La frecuencia varía según el alumno: la mayoría 3 veces por semana, algunos 2, otros 4 y un caso 1. Fuera de la sesión casi no dedica tiempo a planificar; el foco está en el seguimiento personalizado en el momento.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Herramientas actuales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 para comunicación y coordinación, y memoria para todo lo demás. Con adultos mayores usa llamada de línea en lugar de WhatsApp, dato relevante para requerimientos de accesibilidad.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Proceso actual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Hace una entrevista informal por WhatsApp al inicio (afecciones, problemas físicos). No hay planificación escrita: adapta la rutina "según el día", en base a lo que recuerda del cliente. Se define como "muy hábil en el trato persona a persona": la experiencia y el vínculo compensan la falta de sistema.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Seguimiento de progreso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Prácticamente inexistente de forma estructurada: "a memoria, no mucho más que eso".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Registro de datos del cliente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Recuerda lesiones y datos por años de trato con cada alumno, sin registro escrito.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Mayor fricción administrativa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coordinación de agenda. Los horarios varían mucho día a día: por ejemplo, el lunes cuatro bloques distintos, el martes dos turnos corridos de mañana y tarde, y el miércoles un solo bloque breve. Cobra por mes adelantado, lo que compromete las clases antes de tener cerrada la agenda del mes.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Pérdida de información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Ocurre "todo el tiempo": lesiones, agenda, horarios. La compensa con comunicación constante y mucho involucramiento personal con cada alumno, no con un sistema.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Mayor fuente de estrés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los alumnos dejen de entrenar o cambien su rutina de vida. Él mismo reconoce que no es un problema que pueda resolver un software.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Necesidad prioritaria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una app resolviera un solo problema: historial centralizado de alumnos, con sus datos y registro de lesiones. Además, que el alumno perciba que el PT conoce su historia, lo que impacta en la relación comercial y no solo en lo operativo.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Automatización deseada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Además del historial, el envío automático del comprobante al recibir una transferencia, que marca como secundario: "no me estresa mucho".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Demo o UAT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Funcionalidades testeadas: no aplica (relevamiento, sin demo)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Bugs reportados: no aplica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Cambios solicitados: no aplica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Cierre / Acuerdos con el cliente / Devoluciones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Dolores identificados: (1) coordinación de agenda muy variable día a día; (2) pérdida frecuente de información de los clientes (lesiones, horarios) por depender de la memoria; (3) falta de registro estructurado del progreso.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Necesidad prioritaria identificada: historial centralizado de alumnos con registro de lesiones.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Necesidad secundaria: envío automático del comprobante de pago.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Fuera de alcance: la retención de alumnos se documenta como límite consciente del alcance, no como necesidad.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Próxima Reunión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y Hora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Convoca</w:t>
            </w:r>
          </w:p>
        </w:tc>
      </w:tr>
      <w:tr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definir</w:t>
            </w:r>
          </w:p>
        </w:tc>
        <w:tc>
          <w:tcPr>
            <w:tcW w:type="dxa" w:w="312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Emiliano Olivera</w:t>
            </w:r>
          </w:p>
        </w:tc>
      </w:tr>
    </w:tbl>
    <w:sectPr>
      <w:footerReference w:type="default" r:id="rId7"/>
      <w:pgSz w:w="11906" w:h="16838" w:orient="portrait"/>
      <w:pgMar w:top="1134" w:right="1273" w:bottom="1134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 w:before="40"/>
          </w:pPr>
          <w:r>
            <w:rPr>
              <w:rFonts w:ascii="Arial" w:cs="Arial" w:eastAsia="Arial" w:hAnsi="Arial"/>
              <w:sz w:val="16"/>
              <w:szCs w:val="16"/>
            </w:rPr>
            <w:t xml:space="preserve">Acta N°001 - 2026_08_31</w:t>
          </w:r>
        </w:p>
      </w:tc>
      <w:tc>
        <w:tcPr>
          <w:tcW w:type="dxa" w:w="312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spacing w:after="40" w:before="40"/>
          </w:pPr>
          <w:r>
            <w:rPr>
              <w:rFonts w:ascii="Arial" w:cs="Arial" w:eastAsia="Arial" w:hAnsi="Arial"/>
              <w:sz w:val="16"/>
              <w:szCs w:val="16"/>
            </w:rPr>
            <w:t xml:space="preserve"/>
          </w:r>
        </w:p>
      </w:tc>
      <w:tc>
        <w:tcPr>
          <w:tcW w:type="dxa" w:w="3120"/>
          <w:tcBorders>
            <w:top w:val="single" w:color="808080" w:sz="4"/>
            <w:left w:val="single" w:color="808080" w:sz="4"/>
            <w:bottom w:val="single" w:color="808080" w:sz="4"/>
            <w:right w:val="single" w:color="808080" w:sz="4"/>
          </w:tcBorders>
          <w:tcMar>
            <w:top w:type="dxa" w:w="60"/>
            <w:left w:type="dxa" w:w="100"/>
            <w:bottom w:type="dxa" w:w="60"/>
            <w:right w:type="dxa" w:w="1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2026-10-17T19:05:49.629Z</dcterms:created>
  <dcterms:modified xsi:type="dcterms:W3CDTF">2026-10-17T19:05:49.629Z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