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Dr Robbins, Editor,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for handling our manuscript and for your careful reading. We also thank both reviewers for their thorough and constructive assessments, and for the additional references and consistency checks they provided.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have addressed all comments, as shown in blue text in the Word document “response_to_reviewers”. We have attached the revised manuscript as “</w:t>
      </w:r>
      <w:r w:rsidDel="00000000" w:rsidR="00000000" w:rsidRPr="00000000">
        <w:rPr>
          <w:rtl w:val="0"/>
        </w:rPr>
        <w:t xml:space="preserve">revision.pdf”. In “difference.pdf”,</w:t>
      </w:r>
      <w:r w:rsidDel="00000000" w:rsidR="00000000" w:rsidRPr="00000000">
        <w:rPr>
          <w:rtl w:val="0"/>
        </w:rPr>
        <w:t xml:space="preserve"> the changes are highlighted. Please note: in difference.pdf, labels for Sec. 5.1.1 to 5.1.3 appear as 5.1.1 due to a generation issue. However, the correct section numbering is shown in revision.pdf.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following, we highlight three revisions of a particular substance.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First, following concerns raised by Reviewer 2, we removed the normalisation of the CPF to the current observed scattered disc object population. The CPF is now scaled directly to the observed cumulative crater density of Far-Mid-CP5 at a reference diameter of 10 km. This keeps the production function self-consistently grounded in the observed Enceladian crater record and independent of external impactor flux models and crater scaling relations.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Second, in response to both reviewers, we substantially expanded the description of the envelope-building methodology, clarifying how surface modification effects are avoided rather than corrected for, and explicitly justifying the binning choice and polynomial degree.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Third, old Sections 5.1- 5.3 have been reorganised under a unified parent subsection on unit boundary delineation, making the three simultaneously applied criteria — imaging properties, surface morphology, and spatial crater density gradients — explicit and reproducible.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Regarding your two requests: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We have expanded Section 5.4 to discuss how crater degradation and relaxation may potentially modify the observed size-frequency measurement and, consequently, the derived CPF. We note that quantitative assessment remains challenging because crater depth degradation and possible diameter changes have not been measured in this study. Furthermore, existing degradation models (Fassett &amp; Thomson, 2014; Fassett et al., 2022) were developed for the lunar silicate surface, where continuous topographic diffusion of the regolith leads to short detectable lifetimes for smaller craters. In contrast, studies of Enceladus by Bland et al. (2012) suggest that large craters are more susceptible to viscous relaxation owing to the strong dependence of relaxation efficiency on crater depth, ice rheology, and heat flux. Although both processes modify crater morphology and preservation, they operate through different mechanisms and on different surface materials, limiting direct comparison.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The polynomial form follows, indeed, the convention established for the Moon (since Neukum 1983) and Mars (i.e., Ivanov 2001), where it was adopted because the crater SFD exhibits genuine slope variations that a simple power law or multiple broken power laws cannot capture. This justification has been added explicitly in Sec 2 and Sec 3.4.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bend at 1.2 km falls above our 800 m completeness limit; at the 55 to 230 m/pixel image resolution of the contributing units (CW-L-central, CW-T-transitional-left, CW-T-striated-left, and KS-RP4-right), 1.2 km corresponds to 5~20 pixels across a crater, which is considered reliably detected manually. Image resolution and data completeness are therefore unlikely explanations, particularly given the cumulative nature of the SFD, which smooths rather than amplifies local deficits. The polynomial form and fit method are also unlikely causes, as the 10th-degree fit faithfully traces the normalised composite data and the bend is present in the data themselves, not introduced by the fitting. The most plausible interpretation is that the bend reflects genuine slope variation in the crater SFD near the small-diameter end — perhaps consistent with sub-km complexity suggested by the KBO size-frequency distribution (Bottke et al ., 2024). Though we acknowledge that this may partly be coincidental given its proximity to our minimum diameter cutoff. We have added a note near the end of Sec 4.2, acknowledging this ambiguity.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hope the revised manuscript meets your requirements, and we look forward to your response.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Yours sincerely,</w:t>
      </w:r>
    </w:p>
    <w:p w:rsidR="00000000" w:rsidDel="00000000" w:rsidP="00000000" w:rsidRDefault="00000000" w:rsidRPr="00000000" w14:paraId="0000001A">
      <w:pPr>
        <w:rPr/>
      </w:pPr>
      <w:r w:rsidDel="00000000" w:rsidR="00000000" w:rsidRPr="00000000">
        <w:rPr>
          <w:rtl w:val="0"/>
        </w:rPr>
        <w:t xml:space="preserve">Emily Wong</w:t>
      </w:r>
    </w:p>
    <w:p w:rsidR="00000000" w:rsidDel="00000000" w:rsidP="00000000" w:rsidRDefault="00000000" w:rsidRPr="00000000" w14:paraId="0000001B">
      <w:pPr>
        <w:rPr/>
      </w:pPr>
      <w:r w:rsidDel="00000000" w:rsidR="00000000" w:rsidRPr="00000000">
        <w:rPr>
          <w:rtl w:val="0"/>
        </w:rPr>
        <w:t xml:space="preserve">on behalf of all authors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