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CC072" w14:textId="77777777" w:rsidR="00A362B6" w:rsidRDefault="008B7391">
      <w:pPr>
        <w:pStyle w:val="Heading1"/>
      </w:pPr>
      <w:r>
        <w:t>Introduction</w:t>
      </w:r>
    </w:p>
    <w:p w14:paraId="598F9866" w14:textId="77777777" w:rsidR="00A362B6" w:rsidRDefault="008B7391">
      <w:r>
        <w:t>This document highlights the importance of rules for creating high quality and consistent definitions</w:t>
      </w:r>
      <w:r>
        <w:t>. Adopting a common methodology for composing definitions across the Core Vocabularies will strengthen the semantics and improve the quality of definitions, which will in turn help ensure that users interpret the vocabularies in a uniform and interoperable</w:t>
      </w:r>
      <w:r>
        <w:t xml:space="preserve"> way.</w:t>
      </w:r>
    </w:p>
    <w:p w14:paraId="74D669BA" w14:textId="77777777" w:rsidR="00A362B6" w:rsidRDefault="008B7391">
      <w:r>
        <w:t>This document therefore clarifies and sets transparent rules between the editorial team and the communities reusing the core vocabularies.</w:t>
      </w:r>
    </w:p>
    <w:p w14:paraId="60A2FB41" w14:textId="77777777" w:rsidR="00A362B6" w:rsidRDefault="008B7391">
      <w:r>
        <w:t>When implementing the rules below, the editorial team will limit as much as possible the impact of proposed cha</w:t>
      </w:r>
      <w:r>
        <w:t>nges on the semantic interoperability. The approach is the following:</w:t>
      </w:r>
    </w:p>
    <w:p w14:paraId="678DE206" w14:textId="77777777" w:rsidR="00A362B6" w:rsidRDefault="008B7391">
      <w:pPr>
        <w:numPr>
          <w:ilvl w:val="0"/>
          <w:numId w:val="2"/>
        </w:numPr>
        <w:pBdr>
          <w:top w:val="nil"/>
          <w:left w:val="nil"/>
          <w:bottom w:val="nil"/>
          <w:right w:val="nil"/>
          <w:between w:val="nil"/>
        </w:pBdr>
        <w:spacing w:after="0" w:line="256" w:lineRule="auto"/>
      </w:pPr>
      <w:r>
        <w:rPr>
          <w:color w:val="000000"/>
        </w:rPr>
        <w:t>Apply strictly the set of rules agreed to any new class or property.</w:t>
      </w:r>
    </w:p>
    <w:p w14:paraId="4924F238" w14:textId="77777777" w:rsidR="00A362B6" w:rsidRDefault="008B7391">
      <w:pPr>
        <w:numPr>
          <w:ilvl w:val="0"/>
          <w:numId w:val="2"/>
        </w:numPr>
        <w:pBdr>
          <w:top w:val="nil"/>
          <w:left w:val="nil"/>
          <w:bottom w:val="nil"/>
          <w:right w:val="nil"/>
          <w:between w:val="nil"/>
        </w:pBdr>
        <w:spacing w:after="0" w:line="256" w:lineRule="auto"/>
      </w:pPr>
      <w:r>
        <w:rPr>
          <w:color w:val="000000"/>
        </w:rPr>
        <w:t>Only apply these rules to existing terms if this can be done without changing the meaning. If by changing the definit</w:t>
      </w:r>
      <w:r>
        <w:rPr>
          <w:color w:val="000000"/>
        </w:rPr>
        <w:t xml:space="preserve">ions, new discussions related to the interpretation or non-conformity are created, the objective of this exercise would have been missed. </w:t>
      </w:r>
    </w:p>
    <w:p w14:paraId="296D39B8" w14:textId="35D1675E" w:rsidR="00A362B6" w:rsidRDefault="008B7391">
      <w:pPr>
        <w:numPr>
          <w:ilvl w:val="0"/>
          <w:numId w:val="2"/>
        </w:numPr>
        <w:pBdr>
          <w:top w:val="nil"/>
          <w:left w:val="nil"/>
          <w:bottom w:val="nil"/>
          <w:right w:val="nil"/>
          <w:between w:val="nil"/>
        </w:pBdr>
        <w:spacing w:line="256" w:lineRule="auto"/>
      </w:pPr>
      <w:r>
        <w:rPr>
          <w:color w:val="000000"/>
        </w:rPr>
        <w:t xml:space="preserve">Pay special attention to definitions that are today </w:t>
      </w:r>
      <w:r w:rsidR="004B482D">
        <w:rPr>
          <w:color w:val="000000"/>
        </w:rPr>
        <w:t xml:space="preserve">subject to several interpretations </w:t>
      </w:r>
      <w:r>
        <w:rPr>
          <w:color w:val="000000"/>
        </w:rPr>
        <w:t>(</w:t>
      </w:r>
      <w:proofErr w:type="gramStart"/>
      <w:r>
        <w:rPr>
          <w:color w:val="000000"/>
        </w:rPr>
        <w:t>e.g.</w:t>
      </w:r>
      <w:proofErr w:type="gramEnd"/>
      <w:r>
        <w:rPr>
          <w:color w:val="000000"/>
        </w:rPr>
        <w:t xml:space="preserve"> the weighting type in CCCEV) and must be improved to increa</w:t>
      </w:r>
      <w:r>
        <w:rPr>
          <w:color w:val="000000"/>
        </w:rPr>
        <w:t>se the reusability.</w:t>
      </w:r>
    </w:p>
    <w:p w14:paraId="5E4C067B" w14:textId="77777777" w:rsidR="00A362B6" w:rsidRDefault="008B7391">
      <w:r>
        <w:rPr>
          <w:color w:val="000000"/>
        </w:rPr>
        <w:t xml:space="preserve">This set of rules applies primarily to </w:t>
      </w:r>
      <w:r>
        <w:t>Core Vocabularies where it is recommended to keep definitions application neutral to ensure their wide reuse.</w:t>
      </w:r>
    </w:p>
    <w:p w14:paraId="25A19731" w14:textId="77777777" w:rsidR="00A362B6" w:rsidRDefault="008B7391">
      <w:pPr>
        <w:pStyle w:val="Heading1"/>
      </w:pPr>
      <w:r>
        <w:t>Rules</w:t>
      </w:r>
      <w:r>
        <w:rPr>
          <w:vertAlign w:val="superscript"/>
        </w:rPr>
        <w:footnoteReference w:id="1"/>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355"/>
      </w:tblGrid>
      <w:tr w:rsidR="00A362B6" w:rsidRPr="00DC4B72" w14:paraId="3D84C8FB" w14:textId="77777777">
        <w:tc>
          <w:tcPr>
            <w:tcW w:w="645" w:type="dxa"/>
            <w:shd w:val="clear" w:color="auto" w:fill="2F5496"/>
            <w:tcMar>
              <w:top w:w="100" w:type="dxa"/>
              <w:left w:w="100" w:type="dxa"/>
              <w:bottom w:w="100" w:type="dxa"/>
              <w:right w:w="100" w:type="dxa"/>
            </w:tcMar>
          </w:tcPr>
          <w:p w14:paraId="43320BF7" w14:textId="77777777" w:rsidR="00A362B6" w:rsidRPr="00DC4B72" w:rsidRDefault="008B7391">
            <w:pPr>
              <w:widowControl w:val="0"/>
              <w:pBdr>
                <w:top w:val="nil"/>
                <w:left w:val="nil"/>
                <w:bottom w:val="nil"/>
                <w:right w:val="nil"/>
                <w:between w:val="nil"/>
              </w:pBdr>
              <w:spacing w:after="0" w:line="240" w:lineRule="auto"/>
              <w:jc w:val="center"/>
              <w:rPr>
                <w:color w:val="FFFFFF"/>
                <w:sz w:val="24"/>
                <w:szCs w:val="24"/>
              </w:rPr>
            </w:pPr>
            <w:r w:rsidRPr="00DC4B72">
              <w:rPr>
                <w:color w:val="FFFFFF"/>
                <w:sz w:val="24"/>
                <w:szCs w:val="24"/>
              </w:rPr>
              <w:t>R1</w:t>
            </w:r>
          </w:p>
        </w:tc>
        <w:tc>
          <w:tcPr>
            <w:tcW w:w="8355" w:type="dxa"/>
            <w:shd w:val="clear" w:color="auto" w:fill="auto"/>
            <w:tcMar>
              <w:top w:w="100" w:type="dxa"/>
              <w:left w:w="100" w:type="dxa"/>
              <w:bottom w:w="100" w:type="dxa"/>
              <w:right w:w="100" w:type="dxa"/>
            </w:tcMar>
          </w:tcPr>
          <w:p w14:paraId="7201E269" w14:textId="77777777" w:rsidR="00A362B6" w:rsidRPr="00DC4B72" w:rsidRDefault="008B7391">
            <w:pPr>
              <w:rPr>
                <w:sz w:val="24"/>
                <w:szCs w:val="24"/>
              </w:rPr>
            </w:pPr>
            <w:bookmarkStart w:id="0" w:name="_heading=h.gjdgxs" w:colFirst="0" w:colLast="0"/>
            <w:bookmarkEnd w:id="0"/>
            <w:r w:rsidRPr="00DC4B72">
              <w:rPr>
                <w:b/>
                <w:bCs/>
                <w:sz w:val="24"/>
                <w:szCs w:val="24"/>
              </w:rPr>
              <w:t>Be concise but complete:</w:t>
            </w:r>
            <w:r w:rsidRPr="00DC4B72">
              <w:rPr>
                <w:sz w:val="24"/>
                <w:szCs w:val="24"/>
              </w:rPr>
              <w:t xml:space="preserve"> A definition is as brief as possible and as complex as necessary.</w:t>
            </w:r>
          </w:p>
          <w:p w14:paraId="4D57D49F" w14:textId="77777777" w:rsidR="00A362B6" w:rsidRPr="00DC4B72" w:rsidRDefault="008B7391">
            <w:pPr>
              <w:rPr>
                <w:sz w:val="24"/>
                <w:szCs w:val="24"/>
              </w:rPr>
            </w:pPr>
            <w:bookmarkStart w:id="1" w:name="_heading=h.l64drke5t4mu" w:colFirst="0" w:colLast="0"/>
            <w:bookmarkEnd w:id="1"/>
            <w:r w:rsidRPr="00DC4B72">
              <w:rPr>
                <w:sz w:val="24"/>
                <w:szCs w:val="24"/>
              </w:rPr>
              <w:t xml:space="preserve"> The definition should not contain elements that express an inappropriate limitation of the concept by, for example, describing technological, </w:t>
            </w:r>
            <w:proofErr w:type="gramStart"/>
            <w:r w:rsidRPr="00DC4B72">
              <w:rPr>
                <w:sz w:val="24"/>
                <w:szCs w:val="24"/>
              </w:rPr>
              <w:t>organizational</w:t>
            </w:r>
            <w:proofErr w:type="gramEnd"/>
            <w:r w:rsidRPr="00DC4B72">
              <w:rPr>
                <w:sz w:val="24"/>
                <w:szCs w:val="24"/>
              </w:rPr>
              <w:t xml:space="preserve"> or poli</w:t>
            </w:r>
            <w:r w:rsidRPr="00DC4B72">
              <w:rPr>
                <w:sz w:val="24"/>
                <w:szCs w:val="24"/>
              </w:rPr>
              <w:t xml:space="preserve">tical dependencies. </w:t>
            </w:r>
          </w:p>
        </w:tc>
      </w:tr>
      <w:tr w:rsidR="00A362B6" w:rsidRPr="00DC4B72" w14:paraId="5374C2DF" w14:textId="77777777">
        <w:tc>
          <w:tcPr>
            <w:tcW w:w="645" w:type="dxa"/>
            <w:shd w:val="clear" w:color="auto" w:fill="2F5496"/>
            <w:tcMar>
              <w:top w:w="100" w:type="dxa"/>
              <w:left w:w="100" w:type="dxa"/>
              <w:bottom w:w="100" w:type="dxa"/>
              <w:right w:w="100" w:type="dxa"/>
            </w:tcMar>
          </w:tcPr>
          <w:p w14:paraId="2A1F0A45" w14:textId="77777777" w:rsidR="00A362B6" w:rsidRPr="00DC4B72" w:rsidRDefault="008B7391">
            <w:pPr>
              <w:widowControl w:val="0"/>
              <w:pBdr>
                <w:top w:val="nil"/>
                <w:left w:val="nil"/>
                <w:bottom w:val="nil"/>
                <w:right w:val="nil"/>
                <w:between w:val="nil"/>
              </w:pBdr>
              <w:spacing w:after="0" w:line="240" w:lineRule="auto"/>
              <w:jc w:val="center"/>
              <w:rPr>
                <w:color w:val="FFFFFF"/>
                <w:sz w:val="24"/>
                <w:szCs w:val="24"/>
              </w:rPr>
            </w:pPr>
            <w:r w:rsidRPr="00DC4B72">
              <w:rPr>
                <w:color w:val="FFFFFF"/>
                <w:sz w:val="24"/>
                <w:szCs w:val="24"/>
              </w:rPr>
              <w:t>R2</w:t>
            </w:r>
          </w:p>
        </w:tc>
        <w:tc>
          <w:tcPr>
            <w:tcW w:w="8355" w:type="dxa"/>
            <w:shd w:val="clear" w:color="auto" w:fill="auto"/>
            <w:tcMar>
              <w:top w:w="100" w:type="dxa"/>
              <w:left w:w="100" w:type="dxa"/>
              <w:bottom w:w="100" w:type="dxa"/>
              <w:right w:w="100" w:type="dxa"/>
            </w:tcMar>
          </w:tcPr>
          <w:p w14:paraId="03D9BEAE" w14:textId="77777777" w:rsidR="00A362B6" w:rsidRPr="00DC4B72" w:rsidRDefault="008B7391">
            <w:pPr>
              <w:rPr>
                <w:sz w:val="24"/>
                <w:szCs w:val="24"/>
              </w:rPr>
            </w:pPr>
            <w:r w:rsidRPr="00DC4B72">
              <w:rPr>
                <w:b/>
                <w:bCs/>
                <w:sz w:val="24"/>
                <w:szCs w:val="24"/>
              </w:rPr>
              <w:t>Describe only one concept:</w:t>
            </w:r>
            <w:r w:rsidRPr="00DC4B72">
              <w:rPr>
                <w:sz w:val="24"/>
                <w:szCs w:val="24"/>
              </w:rPr>
              <w:t xml:space="preserve"> It shall not include hidden definitions for any concepts used.</w:t>
            </w:r>
          </w:p>
        </w:tc>
      </w:tr>
      <w:tr w:rsidR="00A362B6" w:rsidRPr="00DC4B72" w14:paraId="7C61B079" w14:textId="77777777" w:rsidTr="00DC4B72">
        <w:tc>
          <w:tcPr>
            <w:tcW w:w="645" w:type="dxa"/>
            <w:tcBorders>
              <w:bottom w:val="nil"/>
            </w:tcBorders>
            <w:shd w:val="clear" w:color="auto" w:fill="2F5496"/>
            <w:tcMar>
              <w:top w:w="100" w:type="dxa"/>
              <w:left w:w="100" w:type="dxa"/>
              <w:bottom w:w="100" w:type="dxa"/>
              <w:right w:w="100" w:type="dxa"/>
            </w:tcMar>
          </w:tcPr>
          <w:p w14:paraId="4164BE8D" w14:textId="77777777" w:rsidR="00A362B6" w:rsidRPr="00DC4B72" w:rsidRDefault="00A362B6">
            <w:pPr>
              <w:widowControl w:val="0"/>
              <w:pBdr>
                <w:top w:val="nil"/>
                <w:left w:val="nil"/>
                <w:bottom w:val="nil"/>
                <w:right w:val="nil"/>
                <w:between w:val="nil"/>
              </w:pBdr>
              <w:spacing w:after="0" w:line="240" w:lineRule="auto"/>
              <w:jc w:val="center"/>
              <w:rPr>
                <w:color w:val="FFFFFF"/>
                <w:sz w:val="24"/>
                <w:szCs w:val="24"/>
              </w:rPr>
            </w:pPr>
          </w:p>
        </w:tc>
        <w:tc>
          <w:tcPr>
            <w:tcW w:w="8355" w:type="dxa"/>
            <w:tcBorders>
              <w:bottom w:val="nil"/>
            </w:tcBorders>
            <w:shd w:val="clear" w:color="auto" w:fill="auto"/>
            <w:tcMar>
              <w:top w:w="100" w:type="dxa"/>
              <w:left w:w="100" w:type="dxa"/>
              <w:bottom w:w="100" w:type="dxa"/>
              <w:right w:w="100" w:type="dxa"/>
            </w:tcMar>
          </w:tcPr>
          <w:p w14:paraId="50EF0362" w14:textId="77777777" w:rsidR="00A362B6" w:rsidRPr="00DC4B72" w:rsidRDefault="008B7391">
            <w:pPr>
              <w:spacing w:after="0"/>
              <w:rPr>
                <w:b/>
                <w:bCs/>
                <w:sz w:val="24"/>
                <w:szCs w:val="24"/>
              </w:rPr>
            </w:pPr>
            <w:r w:rsidRPr="00DC4B72">
              <w:rPr>
                <w:b/>
                <w:bCs/>
                <w:sz w:val="24"/>
                <w:szCs w:val="24"/>
              </w:rPr>
              <w:t>Structure in a standardized way:</w:t>
            </w:r>
          </w:p>
        </w:tc>
      </w:tr>
      <w:tr w:rsidR="00A362B6" w:rsidRPr="00DC4B72" w14:paraId="545BB133" w14:textId="77777777" w:rsidTr="00DC4B72">
        <w:tc>
          <w:tcPr>
            <w:tcW w:w="645" w:type="dxa"/>
            <w:tcBorders>
              <w:top w:val="nil"/>
              <w:left w:val="single" w:sz="4" w:space="0" w:color="auto"/>
              <w:bottom w:val="nil"/>
              <w:right w:val="nil"/>
            </w:tcBorders>
            <w:shd w:val="clear" w:color="auto" w:fill="2F5496"/>
            <w:tcMar>
              <w:top w:w="100" w:type="dxa"/>
              <w:left w:w="100" w:type="dxa"/>
              <w:bottom w:w="100" w:type="dxa"/>
              <w:right w:w="100" w:type="dxa"/>
            </w:tcMar>
          </w:tcPr>
          <w:p w14:paraId="4ABC050C" w14:textId="1F45254C" w:rsidR="00A362B6" w:rsidRPr="00DC4B72" w:rsidRDefault="00A362B6">
            <w:pPr>
              <w:widowControl w:val="0"/>
              <w:pBdr>
                <w:top w:val="nil"/>
                <w:left w:val="nil"/>
                <w:bottom w:val="nil"/>
                <w:right w:val="nil"/>
                <w:between w:val="nil"/>
              </w:pBdr>
              <w:spacing w:after="0" w:line="240" w:lineRule="auto"/>
              <w:jc w:val="center"/>
              <w:rPr>
                <w:color w:val="FFFFFF"/>
                <w:sz w:val="24"/>
                <w:szCs w:val="24"/>
              </w:rPr>
            </w:pPr>
          </w:p>
        </w:tc>
        <w:tc>
          <w:tcPr>
            <w:tcW w:w="8355" w:type="dxa"/>
            <w:tcBorders>
              <w:top w:val="nil"/>
              <w:left w:val="nil"/>
              <w:bottom w:val="nil"/>
              <w:right w:val="single" w:sz="4" w:space="0" w:color="auto"/>
            </w:tcBorders>
            <w:shd w:val="clear" w:color="auto" w:fill="auto"/>
            <w:tcMar>
              <w:top w:w="100" w:type="dxa"/>
              <w:left w:w="100" w:type="dxa"/>
              <w:bottom w:w="100" w:type="dxa"/>
              <w:right w:w="100" w:type="dxa"/>
            </w:tcMar>
          </w:tcPr>
          <w:p w14:paraId="2A1A7733" w14:textId="42321828" w:rsidR="00A362B6" w:rsidRPr="00DC4B72" w:rsidRDefault="00DC4B72" w:rsidP="00DC4B72">
            <w:pPr>
              <w:numPr>
                <w:ilvl w:val="0"/>
                <w:numId w:val="4"/>
              </w:numPr>
              <w:spacing w:after="0" w:line="256" w:lineRule="auto"/>
              <w:rPr>
                <w:sz w:val="24"/>
                <w:szCs w:val="24"/>
              </w:rPr>
            </w:pPr>
            <w:r w:rsidRPr="00DC4B72">
              <w:rPr>
                <w:b/>
                <w:bCs/>
                <w:sz w:val="24"/>
                <w:szCs w:val="24"/>
              </w:rPr>
              <w:t xml:space="preserve">Use singular:  </w:t>
            </w:r>
            <w:r w:rsidRPr="00DC4B72">
              <w:rPr>
                <w:sz w:val="24"/>
                <w:szCs w:val="24"/>
              </w:rPr>
              <w:t>The description shall be stated as a descriptive phrase or sentence(s) in the singular form.</w:t>
            </w:r>
          </w:p>
        </w:tc>
      </w:tr>
      <w:tr w:rsidR="00A362B6" w:rsidRPr="00DC4B72" w14:paraId="6DC52455" w14:textId="77777777" w:rsidTr="00DC4B72">
        <w:tc>
          <w:tcPr>
            <w:tcW w:w="645" w:type="dxa"/>
            <w:tcBorders>
              <w:top w:val="nil"/>
              <w:left w:val="single" w:sz="4" w:space="0" w:color="auto"/>
              <w:bottom w:val="nil"/>
              <w:right w:val="nil"/>
            </w:tcBorders>
            <w:shd w:val="clear" w:color="auto" w:fill="2F5496"/>
            <w:tcMar>
              <w:top w:w="100" w:type="dxa"/>
              <w:left w:w="100" w:type="dxa"/>
              <w:bottom w:w="100" w:type="dxa"/>
              <w:right w:w="100" w:type="dxa"/>
            </w:tcMar>
          </w:tcPr>
          <w:p w14:paraId="5CA9CAEA" w14:textId="3AB49952" w:rsidR="00A362B6" w:rsidRPr="00DC4B72" w:rsidRDefault="00A362B6">
            <w:pPr>
              <w:widowControl w:val="0"/>
              <w:pBdr>
                <w:top w:val="nil"/>
                <w:left w:val="nil"/>
                <w:bottom w:val="nil"/>
                <w:right w:val="nil"/>
                <w:between w:val="nil"/>
              </w:pBdr>
              <w:spacing w:after="0" w:line="240" w:lineRule="auto"/>
              <w:jc w:val="center"/>
              <w:rPr>
                <w:color w:val="FFFFFF"/>
                <w:sz w:val="24"/>
                <w:szCs w:val="24"/>
              </w:rPr>
            </w:pPr>
          </w:p>
        </w:tc>
        <w:tc>
          <w:tcPr>
            <w:tcW w:w="8355" w:type="dxa"/>
            <w:tcBorders>
              <w:top w:val="nil"/>
              <w:left w:val="nil"/>
              <w:bottom w:val="nil"/>
              <w:right w:val="single" w:sz="4" w:space="0" w:color="auto"/>
            </w:tcBorders>
            <w:shd w:val="clear" w:color="auto" w:fill="auto"/>
            <w:tcMar>
              <w:top w:w="100" w:type="dxa"/>
              <w:left w:w="100" w:type="dxa"/>
              <w:bottom w:w="100" w:type="dxa"/>
              <w:right w:w="100" w:type="dxa"/>
            </w:tcMar>
          </w:tcPr>
          <w:p w14:paraId="78DA6798" w14:textId="77777777" w:rsidR="00A362B6" w:rsidRPr="00DC4B72" w:rsidRDefault="008B7391" w:rsidP="00DC4B72">
            <w:pPr>
              <w:numPr>
                <w:ilvl w:val="0"/>
                <w:numId w:val="4"/>
              </w:numPr>
              <w:spacing w:after="0" w:line="256" w:lineRule="auto"/>
              <w:rPr>
                <w:b/>
                <w:bCs/>
                <w:sz w:val="24"/>
                <w:szCs w:val="24"/>
              </w:rPr>
            </w:pPr>
            <w:r w:rsidRPr="00DC4B72">
              <w:rPr>
                <w:b/>
                <w:bCs/>
                <w:sz w:val="24"/>
                <w:szCs w:val="24"/>
              </w:rPr>
              <w:t xml:space="preserve">No negative definition: </w:t>
            </w:r>
            <w:r w:rsidRPr="00DC4B72">
              <w:rPr>
                <w:sz w:val="24"/>
                <w:szCs w:val="24"/>
              </w:rPr>
              <w:t>State what the concept is, not only what it is not.</w:t>
            </w:r>
          </w:p>
        </w:tc>
      </w:tr>
      <w:tr w:rsidR="00A362B6" w:rsidRPr="00DC4B72" w14:paraId="2BADFB5A" w14:textId="77777777" w:rsidTr="00DC4B72">
        <w:tc>
          <w:tcPr>
            <w:tcW w:w="645" w:type="dxa"/>
            <w:tcBorders>
              <w:top w:val="nil"/>
              <w:left w:val="single" w:sz="4" w:space="0" w:color="auto"/>
              <w:bottom w:val="nil"/>
              <w:right w:val="nil"/>
            </w:tcBorders>
            <w:shd w:val="clear" w:color="auto" w:fill="2F5496"/>
            <w:tcMar>
              <w:top w:w="100" w:type="dxa"/>
              <w:left w:w="100" w:type="dxa"/>
              <w:bottom w:w="100" w:type="dxa"/>
              <w:right w:w="100" w:type="dxa"/>
            </w:tcMar>
          </w:tcPr>
          <w:p w14:paraId="3F0FC34B" w14:textId="3D6AA7EB" w:rsidR="00A362B6" w:rsidRPr="00DC4B72" w:rsidRDefault="00A362B6">
            <w:pPr>
              <w:widowControl w:val="0"/>
              <w:pBdr>
                <w:top w:val="nil"/>
                <w:left w:val="nil"/>
                <w:bottom w:val="nil"/>
                <w:right w:val="nil"/>
                <w:between w:val="nil"/>
              </w:pBdr>
              <w:spacing w:after="0" w:line="240" w:lineRule="auto"/>
              <w:jc w:val="center"/>
              <w:rPr>
                <w:color w:val="FFFFFF"/>
                <w:sz w:val="24"/>
                <w:szCs w:val="24"/>
              </w:rPr>
            </w:pPr>
          </w:p>
        </w:tc>
        <w:tc>
          <w:tcPr>
            <w:tcW w:w="8355" w:type="dxa"/>
            <w:tcBorders>
              <w:top w:val="nil"/>
              <w:left w:val="nil"/>
              <w:bottom w:val="nil"/>
              <w:right w:val="single" w:sz="4" w:space="0" w:color="auto"/>
            </w:tcBorders>
            <w:shd w:val="clear" w:color="auto" w:fill="auto"/>
            <w:tcMar>
              <w:top w:w="100" w:type="dxa"/>
              <w:left w:w="100" w:type="dxa"/>
              <w:bottom w:w="100" w:type="dxa"/>
              <w:right w:w="100" w:type="dxa"/>
            </w:tcMar>
          </w:tcPr>
          <w:p w14:paraId="5AC3FC2C" w14:textId="77777777" w:rsidR="00A362B6" w:rsidRPr="00DC4B72" w:rsidRDefault="008B7391" w:rsidP="00DC4B72">
            <w:pPr>
              <w:numPr>
                <w:ilvl w:val="0"/>
                <w:numId w:val="4"/>
              </w:numPr>
              <w:spacing w:after="0" w:line="256" w:lineRule="auto"/>
              <w:rPr>
                <w:b/>
                <w:bCs/>
                <w:sz w:val="24"/>
                <w:szCs w:val="24"/>
              </w:rPr>
            </w:pPr>
            <w:r w:rsidRPr="00DC4B72">
              <w:rPr>
                <w:b/>
                <w:bCs/>
                <w:sz w:val="24"/>
                <w:szCs w:val="24"/>
              </w:rPr>
              <w:t xml:space="preserve">Abbreviations: </w:t>
            </w:r>
            <w:r w:rsidRPr="00DC4B72">
              <w:rPr>
                <w:sz w:val="24"/>
                <w:szCs w:val="24"/>
              </w:rPr>
              <w:t>Use only commonly understood abbreviations.</w:t>
            </w:r>
          </w:p>
        </w:tc>
      </w:tr>
      <w:tr w:rsidR="00A362B6" w:rsidRPr="00DC4B72" w14:paraId="4AF2B208" w14:textId="77777777" w:rsidTr="00DC4B72">
        <w:tc>
          <w:tcPr>
            <w:tcW w:w="645" w:type="dxa"/>
            <w:tcBorders>
              <w:top w:val="nil"/>
              <w:left w:val="single" w:sz="4" w:space="0" w:color="auto"/>
              <w:bottom w:val="nil"/>
              <w:right w:val="nil"/>
            </w:tcBorders>
            <w:shd w:val="clear" w:color="auto" w:fill="2F5496"/>
            <w:tcMar>
              <w:top w:w="100" w:type="dxa"/>
              <w:left w:w="100" w:type="dxa"/>
              <w:bottom w:w="100" w:type="dxa"/>
              <w:right w:w="100" w:type="dxa"/>
            </w:tcMar>
          </w:tcPr>
          <w:p w14:paraId="4C907D97" w14:textId="3FB8C700" w:rsidR="00A362B6" w:rsidRPr="00DC4B72" w:rsidRDefault="00A362B6">
            <w:pPr>
              <w:widowControl w:val="0"/>
              <w:pBdr>
                <w:top w:val="nil"/>
                <w:left w:val="nil"/>
                <w:bottom w:val="nil"/>
                <w:right w:val="nil"/>
                <w:between w:val="nil"/>
              </w:pBdr>
              <w:spacing w:after="0" w:line="240" w:lineRule="auto"/>
              <w:jc w:val="center"/>
              <w:rPr>
                <w:color w:val="FFFFFF"/>
                <w:sz w:val="24"/>
                <w:szCs w:val="24"/>
              </w:rPr>
            </w:pPr>
          </w:p>
        </w:tc>
        <w:tc>
          <w:tcPr>
            <w:tcW w:w="8355" w:type="dxa"/>
            <w:tcBorders>
              <w:top w:val="nil"/>
              <w:left w:val="nil"/>
              <w:bottom w:val="nil"/>
              <w:right w:val="single" w:sz="4" w:space="0" w:color="auto"/>
            </w:tcBorders>
            <w:shd w:val="clear" w:color="auto" w:fill="auto"/>
            <w:tcMar>
              <w:top w:w="100" w:type="dxa"/>
              <w:left w:w="100" w:type="dxa"/>
              <w:bottom w:w="100" w:type="dxa"/>
              <w:right w:w="100" w:type="dxa"/>
            </w:tcMar>
          </w:tcPr>
          <w:p w14:paraId="5E2EF826" w14:textId="77777777" w:rsidR="00A362B6" w:rsidRPr="00DC4B72" w:rsidRDefault="008B7391" w:rsidP="00DC4B72">
            <w:pPr>
              <w:numPr>
                <w:ilvl w:val="0"/>
                <w:numId w:val="4"/>
              </w:numPr>
              <w:spacing w:after="0" w:line="256" w:lineRule="auto"/>
              <w:rPr>
                <w:b/>
                <w:bCs/>
                <w:sz w:val="24"/>
                <w:szCs w:val="24"/>
              </w:rPr>
            </w:pPr>
            <w:r w:rsidRPr="00DC4B72">
              <w:rPr>
                <w:b/>
                <w:bCs/>
                <w:sz w:val="24"/>
                <w:szCs w:val="24"/>
              </w:rPr>
              <w:t>S</w:t>
            </w:r>
            <w:r w:rsidRPr="00DC4B72">
              <w:rPr>
                <w:b/>
                <w:bCs/>
                <w:sz w:val="24"/>
                <w:szCs w:val="24"/>
              </w:rPr>
              <w:t xml:space="preserve">imilarity: </w:t>
            </w:r>
            <w:r w:rsidRPr="00DC4B72">
              <w:rPr>
                <w:sz w:val="24"/>
                <w:szCs w:val="24"/>
              </w:rPr>
              <w:t>Use the same terminology and consistent logical structure for related definitions.</w:t>
            </w:r>
          </w:p>
        </w:tc>
      </w:tr>
      <w:tr w:rsidR="00A362B6" w:rsidRPr="00DC4B72" w14:paraId="72FE7CC0" w14:textId="77777777" w:rsidTr="00DC4B72">
        <w:tc>
          <w:tcPr>
            <w:tcW w:w="645" w:type="dxa"/>
            <w:tcBorders>
              <w:top w:val="nil"/>
              <w:left w:val="single" w:sz="4" w:space="0" w:color="auto"/>
              <w:bottom w:val="single" w:sz="4" w:space="0" w:color="auto"/>
              <w:right w:val="nil"/>
            </w:tcBorders>
            <w:shd w:val="clear" w:color="auto" w:fill="2F5496"/>
            <w:tcMar>
              <w:top w:w="100" w:type="dxa"/>
              <w:left w:w="100" w:type="dxa"/>
              <w:bottom w:w="100" w:type="dxa"/>
              <w:right w:w="100" w:type="dxa"/>
            </w:tcMar>
          </w:tcPr>
          <w:p w14:paraId="5BA4A9C8" w14:textId="2EB722AB" w:rsidR="00A362B6" w:rsidRPr="00DC4B72" w:rsidRDefault="00A362B6">
            <w:pPr>
              <w:widowControl w:val="0"/>
              <w:pBdr>
                <w:top w:val="nil"/>
                <w:left w:val="nil"/>
                <w:bottom w:val="nil"/>
                <w:right w:val="nil"/>
                <w:between w:val="nil"/>
              </w:pBdr>
              <w:spacing w:after="0" w:line="240" w:lineRule="auto"/>
              <w:jc w:val="center"/>
              <w:rPr>
                <w:color w:val="FFFFFF"/>
                <w:sz w:val="24"/>
                <w:szCs w:val="24"/>
              </w:rPr>
            </w:pPr>
          </w:p>
        </w:tc>
        <w:tc>
          <w:tcPr>
            <w:tcW w:w="8355"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tcPr>
          <w:p w14:paraId="5712456E" w14:textId="77777777" w:rsidR="00A362B6" w:rsidRPr="00DC4B72" w:rsidRDefault="008B7391" w:rsidP="00DC4B72">
            <w:pPr>
              <w:numPr>
                <w:ilvl w:val="0"/>
                <w:numId w:val="4"/>
              </w:numPr>
              <w:spacing w:after="0" w:line="256" w:lineRule="auto"/>
              <w:rPr>
                <w:b/>
                <w:bCs/>
                <w:sz w:val="24"/>
                <w:szCs w:val="24"/>
              </w:rPr>
            </w:pPr>
            <w:r w:rsidRPr="00DC4B72">
              <w:rPr>
                <w:b/>
                <w:bCs/>
                <w:sz w:val="24"/>
                <w:szCs w:val="24"/>
              </w:rPr>
              <w:t xml:space="preserve">Graphics: </w:t>
            </w:r>
            <w:r w:rsidRPr="00DC4B72">
              <w:rPr>
                <w:sz w:val="24"/>
                <w:szCs w:val="24"/>
              </w:rPr>
              <w:t>Use graphics, if necessary, to clarify the definition.</w:t>
            </w:r>
          </w:p>
        </w:tc>
      </w:tr>
      <w:tr w:rsidR="00A362B6" w:rsidRPr="00DC4B72" w14:paraId="72C710E2" w14:textId="77777777" w:rsidTr="00DC4B72">
        <w:tc>
          <w:tcPr>
            <w:tcW w:w="645" w:type="dxa"/>
            <w:tcBorders>
              <w:top w:val="single" w:sz="4" w:space="0" w:color="auto"/>
            </w:tcBorders>
            <w:shd w:val="clear" w:color="auto" w:fill="2F5496"/>
            <w:tcMar>
              <w:top w:w="100" w:type="dxa"/>
              <w:left w:w="100" w:type="dxa"/>
              <w:bottom w:w="100" w:type="dxa"/>
              <w:right w:w="100" w:type="dxa"/>
            </w:tcMar>
          </w:tcPr>
          <w:p w14:paraId="2804D241" w14:textId="77777777" w:rsidR="00A362B6" w:rsidRPr="00DC4B72" w:rsidRDefault="008B7391">
            <w:pPr>
              <w:widowControl w:val="0"/>
              <w:pBdr>
                <w:top w:val="nil"/>
                <w:left w:val="nil"/>
                <w:bottom w:val="nil"/>
                <w:right w:val="nil"/>
                <w:between w:val="nil"/>
              </w:pBdr>
              <w:spacing w:after="0" w:line="240" w:lineRule="auto"/>
              <w:jc w:val="center"/>
              <w:rPr>
                <w:color w:val="FFFFFF"/>
                <w:sz w:val="24"/>
                <w:szCs w:val="24"/>
              </w:rPr>
            </w:pPr>
            <w:r w:rsidRPr="00DC4B72">
              <w:rPr>
                <w:color w:val="FFFFFF"/>
                <w:sz w:val="24"/>
                <w:szCs w:val="24"/>
              </w:rPr>
              <w:t>R8</w:t>
            </w:r>
          </w:p>
        </w:tc>
        <w:tc>
          <w:tcPr>
            <w:tcW w:w="8355" w:type="dxa"/>
            <w:tcBorders>
              <w:top w:val="single" w:sz="4" w:space="0" w:color="auto"/>
            </w:tcBorders>
            <w:shd w:val="clear" w:color="auto" w:fill="auto"/>
            <w:tcMar>
              <w:top w:w="100" w:type="dxa"/>
              <w:left w:w="100" w:type="dxa"/>
              <w:bottom w:w="100" w:type="dxa"/>
              <w:right w:w="100" w:type="dxa"/>
            </w:tcMar>
          </w:tcPr>
          <w:p w14:paraId="5C02CEDE" w14:textId="7EC8FB5D" w:rsidR="00A362B6" w:rsidRPr="00DC4B72" w:rsidRDefault="00DC4B72">
            <w:pPr>
              <w:rPr>
                <w:sz w:val="24"/>
                <w:szCs w:val="24"/>
              </w:rPr>
            </w:pPr>
            <w:r w:rsidRPr="00DC4B72">
              <w:rPr>
                <w:b/>
                <w:bCs/>
                <w:sz w:val="24"/>
                <w:szCs w:val="24"/>
              </w:rPr>
              <w:t>Reuse i</w:t>
            </w:r>
            <w:r w:rsidR="008B7391" w:rsidRPr="00DC4B72">
              <w:rPr>
                <w:b/>
                <w:bCs/>
                <w:sz w:val="24"/>
                <w:szCs w:val="24"/>
              </w:rPr>
              <w:t>nternational standards</w:t>
            </w:r>
            <w:r w:rsidR="008B7391" w:rsidRPr="00DC4B72">
              <w:rPr>
                <w:sz w:val="24"/>
                <w:szCs w:val="24"/>
              </w:rPr>
              <w:t>: If a definition already exists, in an International Standard for example, it shall only be adopted as it stands if it reflects the concept system in question. Otherwise, it shall be adapted.</w:t>
            </w:r>
          </w:p>
        </w:tc>
      </w:tr>
      <w:tr w:rsidR="00A362B6" w:rsidRPr="00DC4B72" w14:paraId="441646C3" w14:textId="77777777">
        <w:tc>
          <w:tcPr>
            <w:tcW w:w="645" w:type="dxa"/>
            <w:shd w:val="clear" w:color="auto" w:fill="2F5496"/>
            <w:tcMar>
              <w:top w:w="100" w:type="dxa"/>
              <w:left w:w="100" w:type="dxa"/>
              <w:bottom w:w="100" w:type="dxa"/>
              <w:right w:w="100" w:type="dxa"/>
            </w:tcMar>
          </w:tcPr>
          <w:p w14:paraId="59DFA011" w14:textId="77777777" w:rsidR="00A362B6" w:rsidRPr="00DC4B72" w:rsidRDefault="008B7391">
            <w:pPr>
              <w:widowControl w:val="0"/>
              <w:pBdr>
                <w:top w:val="nil"/>
                <w:left w:val="nil"/>
                <w:bottom w:val="nil"/>
                <w:right w:val="nil"/>
                <w:between w:val="nil"/>
              </w:pBdr>
              <w:spacing w:after="0" w:line="240" w:lineRule="auto"/>
              <w:jc w:val="center"/>
              <w:rPr>
                <w:color w:val="FFFFFF"/>
                <w:sz w:val="24"/>
                <w:szCs w:val="24"/>
              </w:rPr>
            </w:pPr>
            <w:r w:rsidRPr="00DC4B72">
              <w:rPr>
                <w:color w:val="FFFFFF"/>
                <w:sz w:val="24"/>
                <w:szCs w:val="24"/>
              </w:rPr>
              <w:t>R9</w:t>
            </w:r>
          </w:p>
        </w:tc>
        <w:tc>
          <w:tcPr>
            <w:tcW w:w="8355" w:type="dxa"/>
            <w:shd w:val="clear" w:color="auto" w:fill="auto"/>
            <w:tcMar>
              <w:top w:w="100" w:type="dxa"/>
              <w:left w:w="100" w:type="dxa"/>
              <w:bottom w:w="100" w:type="dxa"/>
              <w:right w:w="100" w:type="dxa"/>
            </w:tcMar>
          </w:tcPr>
          <w:p w14:paraId="730C90A7" w14:textId="77777777" w:rsidR="00A362B6" w:rsidRPr="00DC4B72" w:rsidRDefault="008B7391">
            <w:pPr>
              <w:rPr>
                <w:sz w:val="24"/>
                <w:szCs w:val="24"/>
              </w:rPr>
            </w:pPr>
            <w:r w:rsidRPr="00DC4B72">
              <w:rPr>
                <w:b/>
                <w:bCs/>
                <w:sz w:val="24"/>
                <w:szCs w:val="24"/>
              </w:rPr>
              <w:t>No circular definitions:</w:t>
            </w:r>
            <w:r w:rsidRPr="00DC4B72">
              <w:rPr>
                <w:sz w:val="24"/>
                <w:szCs w:val="24"/>
              </w:rPr>
              <w:t xml:space="preserve"> If one conc</w:t>
            </w:r>
            <w:r w:rsidRPr="00DC4B72">
              <w:rPr>
                <w:sz w:val="24"/>
                <w:szCs w:val="24"/>
              </w:rPr>
              <w:t xml:space="preserve">ept is defined by using a second concept, and that second concept is defined by using the term or elements of the term which designates the first concept, the resulting definitions are said to be circular. </w:t>
            </w:r>
          </w:p>
        </w:tc>
      </w:tr>
      <w:tr w:rsidR="00A362B6" w:rsidRPr="00DC4B72" w14:paraId="6730CA5C" w14:textId="77777777">
        <w:tc>
          <w:tcPr>
            <w:tcW w:w="645" w:type="dxa"/>
            <w:shd w:val="clear" w:color="auto" w:fill="2F5496"/>
            <w:tcMar>
              <w:top w:w="100" w:type="dxa"/>
              <w:left w:w="100" w:type="dxa"/>
              <w:bottom w:w="100" w:type="dxa"/>
              <w:right w:w="100" w:type="dxa"/>
            </w:tcMar>
          </w:tcPr>
          <w:p w14:paraId="25A5767E" w14:textId="77777777" w:rsidR="00A362B6" w:rsidRPr="00DC4B72" w:rsidRDefault="008B7391">
            <w:pPr>
              <w:widowControl w:val="0"/>
              <w:pBdr>
                <w:top w:val="nil"/>
                <w:left w:val="nil"/>
                <w:bottom w:val="nil"/>
                <w:right w:val="nil"/>
                <w:between w:val="nil"/>
              </w:pBdr>
              <w:spacing w:after="0" w:line="240" w:lineRule="auto"/>
              <w:jc w:val="center"/>
              <w:rPr>
                <w:color w:val="FFFFFF"/>
                <w:sz w:val="24"/>
                <w:szCs w:val="24"/>
              </w:rPr>
            </w:pPr>
            <w:r w:rsidRPr="00DC4B72">
              <w:rPr>
                <w:color w:val="FFFFFF"/>
                <w:sz w:val="24"/>
                <w:szCs w:val="24"/>
              </w:rPr>
              <w:t>R10</w:t>
            </w:r>
          </w:p>
        </w:tc>
        <w:tc>
          <w:tcPr>
            <w:tcW w:w="8355" w:type="dxa"/>
            <w:shd w:val="clear" w:color="auto" w:fill="auto"/>
            <w:tcMar>
              <w:top w:w="100" w:type="dxa"/>
              <w:left w:w="100" w:type="dxa"/>
              <w:bottom w:w="100" w:type="dxa"/>
              <w:right w:w="100" w:type="dxa"/>
            </w:tcMar>
          </w:tcPr>
          <w:p w14:paraId="57BF7678" w14:textId="77777777" w:rsidR="00A362B6" w:rsidRPr="00DC4B72" w:rsidRDefault="008B7391">
            <w:pPr>
              <w:rPr>
                <w:sz w:val="24"/>
                <w:szCs w:val="24"/>
              </w:rPr>
            </w:pPr>
            <w:r w:rsidRPr="00DC4B72">
              <w:rPr>
                <w:b/>
                <w:bCs/>
                <w:sz w:val="24"/>
                <w:szCs w:val="24"/>
              </w:rPr>
              <w:t>Secondary and extra information:</w:t>
            </w:r>
            <w:r w:rsidRPr="00DC4B72">
              <w:rPr>
                <w:sz w:val="24"/>
                <w:szCs w:val="24"/>
              </w:rPr>
              <w:t xml:space="preserve">  secondary and extra information on a concept and its designations shall be given in a note that complements the definition. A note shall be clearly distinguished from the definition, for example, by its typography or inden</w:t>
            </w:r>
            <w:r w:rsidRPr="00DC4B72">
              <w:rPr>
                <w:sz w:val="24"/>
                <w:szCs w:val="24"/>
              </w:rPr>
              <w:t xml:space="preserve">tation. Notes may include non-essential characteristics or optional parts which are often associated with the concept, </w:t>
            </w:r>
            <w:proofErr w:type="gramStart"/>
            <w:r w:rsidRPr="00DC4B72">
              <w:rPr>
                <w:sz w:val="24"/>
                <w:szCs w:val="24"/>
              </w:rPr>
              <w:t>e.g.</w:t>
            </w:r>
            <w:proofErr w:type="gramEnd"/>
            <w:r w:rsidRPr="00DC4B72">
              <w:rPr>
                <w:sz w:val="24"/>
                <w:szCs w:val="24"/>
              </w:rPr>
              <w:t xml:space="preserve"> typical elements that make up the extension of the concept, or explanatory information that complements the definition, but are not </w:t>
            </w:r>
            <w:r w:rsidRPr="00DC4B72">
              <w:rPr>
                <w:sz w:val="24"/>
                <w:szCs w:val="24"/>
              </w:rPr>
              <w:t>essential for understanding the concept.</w:t>
            </w:r>
          </w:p>
        </w:tc>
      </w:tr>
    </w:tbl>
    <w:p w14:paraId="55D0136C" w14:textId="77777777" w:rsidR="00A362B6" w:rsidRDefault="00A362B6"/>
    <w:p w14:paraId="2A85F492" w14:textId="77777777" w:rsidR="00A362B6" w:rsidRDefault="008B7391">
      <w:pPr>
        <w:spacing w:after="0"/>
      </w:pPr>
      <w:r>
        <w:rPr>
          <w:b/>
        </w:rPr>
        <w:t>The following three points summarize how a definition in general should be written</w:t>
      </w:r>
      <w:r>
        <w:t>:</w:t>
      </w:r>
    </w:p>
    <w:p w14:paraId="700452D0" w14:textId="77777777" w:rsidR="00A362B6" w:rsidRDefault="008B7391">
      <w:pPr>
        <w:numPr>
          <w:ilvl w:val="0"/>
          <w:numId w:val="1"/>
        </w:numPr>
        <w:pBdr>
          <w:top w:val="nil"/>
          <w:left w:val="nil"/>
          <w:bottom w:val="nil"/>
          <w:right w:val="nil"/>
          <w:between w:val="nil"/>
        </w:pBdr>
        <w:spacing w:after="0" w:line="256" w:lineRule="auto"/>
        <w:rPr>
          <w:color w:val="000000"/>
        </w:rPr>
      </w:pPr>
      <w:r>
        <w:rPr>
          <w:color w:val="000000"/>
        </w:rPr>
        <w:t xml:space="preserve"> Keep it simple: express definitions in a simple way so that they are easy to understand</w:t>
      </w:r>
    </w:p>
    <w:p w14:paraId="70E9E43B" w14:textId="77777777" w:rsidR="00A362B6" w:rsidRDefault="008B7391">
      <w:pPr>
        <w:numPr>
          <w:ilvl w:val="0"/>
          <w:numId w:val="1"/>
        </w:numPr>
        <w:pBdr>
          <w:top w:val="nil"/>
          <w:left w:val="nil"/>
          <w:bottom w:val="nil"/>
          <w:right w:val="nil"/>
          <w:between w:val="nil"/>
        </w:pBdr>
        <w:spacing w:after="0" w:line="256" w:lineRule="auto"/>
      </w:pPr>
      <w:r>
        <w:rPr>
          <w:color w:val="000000"/>
        </w:rPr>
        <w:t xml:space="preserve"> Keep it short: sentences should be short. Avoid multi-clause sentences.</w:t>
      </w:r>
    </w:p>
    <w:p w14:paraId="57E59036" w14:textId="210A832C" w:rsidR="00A362B6" w:rsidRDefault="008B7391">
      <w:pPr>
        <w:numPr>
          <w:ilvl w:val="0"/>
          <w:numId w:val="1"/>
        </w:numPr>
        <w:pBdr>
          <w:top w:val="nil"/>
          <w:left w:val="nil"/>
          <w:bottom w:val="nil"/>
          <w:right w:val="nil"/>
          <w:between w:val="nil"/>
        </w:pBdr>
        <w:spacing w:line="256" w:lineRule="auto"/>
      </w:pPr>
      <w:r>
        <w:rPr>
          <w:color w:val="000000"/>
        </w:rPr>
        <w:t xml:space="preserve"> Keep it straight: </w:t>
      </w:r>
      <w:r w:rsidR="00DC23E4">
        <w:rPr>
          <w:color w:val="000000"/>
        </w:rPr>
        <w:t>a</w:t>
      </w:r>
      <w:r>
        <w:rPr>
          <w:color w:val="000000"/>
        </w:rPr>
        <w:t>void metaphors or poetic language</w:t>
      </w:r>
    </w:p>
    <w:sectPr w:rsidR="00A362B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ECD22" w14:textId="77777777" w:rsidR="008B7391" w:rsidRDefault="008B7391">
      <w:pPr>
        <w:spacing w:after="0" w:line="240" w:lineRule="auto"/>
      </w:pPr>
      <w:r>
        <w:separator/>
      </w:r>
    </w:p>
  </w:endnote>
  <w:endnote w:type="continuationSeparator" w:id="0">
    <w:p w14:paraId="7285488F" w14:textId="77777777" w:rsidR="008B7391" w:rsidRDefault="008B7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793E0" w14:textId="77777777" w:rsidR="008B7391" w:rsidRDefault="008B7391">
      <w:pPr>
        <w:spacing w:after="0" w:line="240" w:lineRule="auto"/>
      </w:pPr>
      <w:r>
        <w:separator/>
      </w:r>
    </w:p>
  </w:footnote>
  <w:footnote w:type="continuationSeparator" w:id="0">
    <w:p w14:paraId="7C065AAF" w14:textId="77777777" w:rsidR="008B7391" w:rsidRDefault="008B7391">
      <w:pPr>
        <w:spacing w:after="0" w:line="240" w:lineRule="auto"/>
      </w:pPr>
      <w:r>
        <w:continuationSeparator/>
      </w:r>
    </w:p>
  </w:footnote>
  <w:footnote w:id="1">
    <w:p w14:paraId="705E0646" w14:textId="77777777" w:rsidR="00A362B6" w:rsidRDefault="008B7391">
      <w:pPr>
        <w:spacing w:after="0" w:line="240" w:lineRule="auto"/>
        <w:rPr>
          <w:color w:val="000000"/>
        </w:rPr>
      </w:pPr>
      <w:r>
        <w:rPr>
          <w:vertAlign w:val="superscript"/>
        </w:rPr>
        <w:footnoteRef/>
      </w:r>
      <w:r>
        <w:rPr>
          <w:color w:val="000000"/>
        </w:rPr>
        <w:t xml:space="preserve"> ISO 11179-4:2004(E), Information techn</w:t>
      </w:r>
      <w:r>
        <w:rPr>
          <w:color w:val="000000"/>
        </w:rPr>
        <w:t>ology — Metadata registries (MDR) — Part 4: Formulation of data definitions, chapter 4.</w:t>
      </w:r>
    </w:p>
    <w:p w14:paraId="6223A616" w14:textId="77777777" w:rsidR="00A362B6" w:rsidRDefault="008B7391">
      <w:pPr>
        <w:spacing w:after="0" w:line="240" w:lineRule="auto"/>
        <w:rPr>
          <w:color w:val="000000"/>
        </w:rPr>
      </w:pPr>
      <w:r>
        <w:rPr>
          <w:color w:val="000000"/>
        </w:rPr>
        <w:t xml:space="preserve">ISO 704:2000(E), Terminology work — Principles and methods, chapter 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37AC1"/>
    <w:multiLevelType w:val="multilevel"/>
    <w:tmpl w:val="30602C8A"/>
    <w:lvl w:ilvl="0">
      <w:start w:val="1"/>
      <w:numFmt w:val="bullet"/>
      <w:lvlText w:val="●"/>
      <w:lvlJc w:val="left"/>
      <w:pPr>
        <w:ind w:left="360" w:hanging="360"/>
      </w:pPr>
      <w:rPr>
        <w:rFonts w:ascii="Calibri" w:eastAsia="Calibri" w:hAnsi="Calibri" w:cs="Calibri"/>
        <w:b/>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D184B74"/>
    <w:multiLevelType w:val="hybridMultilevel"/>
    <w:tmpl w:val="130CFC84"/>
    <w:lvl w:ilvl="0" w:tplc="20B4E44E">
      <w:start w:val="3"/>
      <w:numFmt w:val="decimal"/>
      <w:lvlText w:val="R%1"/>
      <w:lvlJc w:val="left"/>
      <w:pPr>
        <w:ind w:left="108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56B79FE"/>
    <w:multiLevelType w:val="multilevel"/>
    <w:tmpl w:val="D674E01E"/>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8F05008"/>
    <w:multiLevelType w:val="multilevel"/>
    <w:tmpl w:val="F4AE6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2B6"/>
    <w:rsid w:val="004B482D"/>
    <w:rsid w:val="007A4811"/>
    <w:rsid w:val="008B7391"/>
    <w:rsid w:val="00A362B6"/>
    <w:rsid w:val="00DC23E4"/>
    <w:rsid w:val="00DC4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60A7"/>
  <w15:docId w15:val="{E5540144-494E-4875-8421-10980A9F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E66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66C1"/>
    <w:pPr>
      <w:spacing w:line="256" w:lineRule="auto"/>
      <w:ind w:left="720"/>
      <w:contextualSpacing/>
    </w:pPr>
    <w:rPr>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AL9+mIOVOwedku860fT8CiJvfg==">AMUW2mWSIlGWc2wxltRbNNvM4FM/v1pGGSVHwayOgK6nnp3ks2/iRLoDvc9v1dpKeXiLOsCU/Xfz9iqol8knWt9dQonEUblUknnpmbyiU/F0sMFd9kaRSn07YmIHvcRBLJSuFxJNJTW9au/S7T3CjQq9CWjXHqoo8gqSAyvBfL/7nyFknJvNwqsnD37y5GboOSZ0V2W4b3RzKm/TNVKXTjYKsZyBFBgrMnWYrpBQHtMmOFiFSgacV1eRs/TdZ8MgDQ1nSy31pIhNuu7VQVYuPmnxsbcQPorSQdmAu0RqucWO8dGlQcp1/ws1mHTPc38YcYEcDZ2IKCa/ZieGkI7y5ZEkbg3GEmlSTO+0zISMD+k80oM8IzP29QlmolnW6nNO5W+TVBOOngRO+LGqL2B3woCDRuNCaiiPDvZEyqZUb6GF2dkUUcBMzbEodTs5VlSyPv+TXgxaLGLPqzNwhGHydLBZ7ZFBXRcNJscKW4mIDi/kU8gnHg+fxzYb7B81w82quPmp9oDuT3g0m2fDEUX0DEy4/LzhpEKJm4hA3X8VQI9FwTMzd09Up1SxR9GkysYID9umvGOUFFCLGbabmMo6tyoWfYbPm6GMN6UxMeqSCjQpvMCikvb3EzJvfp48Py/H1v899n/CAReohVxEvBT/k7/ByxwwlutpIQGbGj1Q/zVU6QkV35lWCuBkZR7zX+VQhHoqUkQcSDCLvoAUFIhhdY1fHkvADkF/LyyeeLm2JyvrizpQTnDaExYEZ8melSe+RJRnC0DSxS+6ktajc2OciHhjHfMHeAGpJrpM2Gob1ICmTznXXL1h8oLyPpBXMlylaeN0dJZPRjlLzUJZDWpgeTpR0h+idHMUtiGfzAQ2n+btVpbZAerGWEgiC4s3iuN/GxfpQCc+7RhaAhKozNARUcsenIIpduMKt6AoBhVueANTg00sWEZwBwcMWMoXvDsHEefxFfvqxJKYNI/boUP9/zpH7/UdQJEAXeHcvlsU6CCpCCzuQORkcZue2pCQwbxic5LYNlSts7zC8jsBmzrFiEUM7mMD2Alem6V7Xpodx/4ligCIPUkv3BFWLZnMzWUAC8yjmfKcGnUN4ot1w7FjpvA2BQFaSivrj3a8VKk437ysqDVwgiRKPoasMZGyLWBLnSow//Zfq5O3MSN1uNpyPpLW9+4mAW8582YvR6ygZhnLg2wVmMy8/d8EtlI9S7N9VGfa62mS5FJlUhgmUTIL1uq7+4c2Gjwo5aGNipByBGG2+FWV5rGzWGHLvtj4QigADxpKiuKUk6lDNIFklyMaznVTj9I91/7QxGc+l550y6PpJoA7IOT/c3t6wglVAaNA3ymMLYUMJcbSWK8/xqPA9BHMtv6YeKkubUotW+YoR0iW22c8yjiIm7+JoVU/XQteymnrIajUl6yn1n8s7jeSzHpq8AbgejwRS1PEqW1znPwvTGJEaZbdDYjc/LoIfTYGZ0Tgm8SMyPWiw4PMHRzz5XsQpWw5AHt3bdRlK+EpptGpr5GyuvAL49Tl3D4rjvxhET2tosKp8PcCySLW369BGx6AamjioVJen2A/jNPwvSLUJ8EHRK7AdHaCGYYVeKwiB2VMPJ9Fi1S9Ia0BBSSAyw6bjavx7yR501lAXZJcIMtNQBfYIOrGSQyd1gw0C8Gr6EI24Ggpv/T7e1Saua+G0QqMgTIKwKeyQaDUm4nd51L2O/kjedfPdi3TeaR/ABT+vgHAwZH3JCx1zPIB+TWvIVJGWbELKc8IurKrLNGoVHkwHOKpowYBwMIh70w45g2fLTwq9UoX3NxSXvm4uOucK7O2vt9PMZ4Zu4jIAFlm1csBC0RgGWxUFVWvBOKCTbHiQcbrBbV01rgWJwZxulj0a386kTfoAczu4e/ZzeC+ds4zTFei/vrs3/tZY+aADTcYjMQQWA1DFI4vw8d73Debsrq2t60eHzeTGdvCI4gHYbWLLd1E8NK68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Lavreneva (BE)</dc:creator>
  <cp:lastModifiedBy>Florian Barthelemy</cp:lastModifiedBy>
  <cp:revision>5</cp:revision>
  <dcterms:created xsi:type="dcterms:W3CDTF">2021-09-29T15:09:00Z</dcterms:created>
  <dcterms:modified xsi:type="dcterms:W3CDTF">2021-10-05T12:39:00Z</dcterms:modified>
</cp:coreProperties>
</file>