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Public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Main Entities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4"/>
          <w:szCs w:val="24"/>
          <w:rtl w:val="0"/>
        </w:rPr>
        <w:t xml:space="preserve">Public Projects</w:t>
      </w:r>
      <w:r w:rsidDel="00000000" w:rsidR="00000000" w:rsidRPr="00000000">
        <w:rPr>
          <w:sz w:val="24"/>
          <w:szCs w:val="24"/>
          <w:rtl w:val="0"/>
        </w:rPr>
        <w:t xml:space="preserve"> are divided in two types, Public Works and Subsidies.  </w:t>
      </w:r>
    </w:p>
    <w:p w:rsidR="00000000" w:rsidDel="00000000" w:rsidP="00000000" w:rsidRDefault="00000000" w:rsidRPr="00000000">
      <w:pPr>
        <w:numPr>
          <w:ilvl w:val="0"/>
          <w:numId w:val="3"/>
        </w:numPr>
        <w:spacing w:line="276" w:lineRule="auto"/>
        <w:ind w:left="720" w:hanging="360"/>
        <w:contextualSpacing w:val="1"/>
        <w:jc w:val="both"/>
        <w:rPr>
          <w:sz w:val="24"/>
          <w:szCs w:val="24"/>
        </w:rPr>
      </w:pPr>
      <w:r w:rsidDel="00000000" w:rsidR="00000000" w:rsidRPr="00000000">
        <w:rPr>
          <w:sz w:val="24"/>
          <w:szCs w:val="24"/>
          <w:rtl w:val="0"/>
        </w:rPr>
        <w:t xml:space="preserve">A Subsidy is not divided in Subprojects and it is not follows an ordinary procurement process.</w:t>
      </w:r>
    </w:p>
    <w:p w:rsidR="00000000" w:rsidDel="00000000" w:rsidP="00000000" w:rsidRDefault="00000000" w:rsidRPr="00000000">
      <w:pPr>
        <w:numPr>
          <w:ilvl w:val="0"/>
          <w:numId w:val="3"/>
        </w:numPr>
        <w:spacing w:line="276" w:lineRule="auto"/>
        <w:ind w:left="720" w:hanging="360"/>
        <w:contextualSpacing w:val="1"/>
        <w:jc w:val="both"/>
        <w:rPr>
          <w:sz w:val="24"/>
          <w:szCs w:val="24"/>
        </w:rPr>
      </w:pPr>
      <w:r w:rsidDel="00000000" w:rsidR="00000000" w:rsidRPr="00000000">
        <w:rPr>
          <w:sz w:val="24"/>
          <w:szCs w:val="24"/>
          <w:rtl w:val="0"/>
        </w:rPr>
        <w:t xml:space="preserve">The resulted products and services of a Subsidy are remaining in the ownership of the Beneficiary, in contrast to the case of public procurement. </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4"/>
          <w:szCs w:val="24"/>
          <w:rtl w:val="0"/>
        </w:rPr>
        <w:t xml:space="preserve">A. Public Project</w:t>
      </w:r>
      <w:r w:rsidDel="00000000" w:rsidR="00000000" w:rsidRPr="00000000">
        <w:rPr>
          <w:sz w:val="24"/>
          <w:szCs w:val="24"/>
          <w:rtl w:val="0"/>
        </w:rPr>
        <w:t xml:space="preserve">: A group of activities aiming at the realization of a functionally distinct object/result. Allocation of resources to projects takes place after evaluation according to specific criteria. The Public Project is implemented by one or more entities called Beneficiaries (public or private organisations).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left="0" w:firstLine="0"/>
        <w:contextualSpacing w:val="0"/>
        <w:jc w:val="both"/>
      </w:pPr>
      <w:r w:rsidDel="00000000" w:rsidR="00000000" w:rsidRPr="00000000">
        <w:rPr>
          <w:b w:val="1"/>
          <w:sz w:val="24"/>
          <w:szCs w:val="24"/>
          <w:rtl w:val="0"/>
        </w:rPr>
        <w:t xml:space="preserve">A1. Public Work</w:t>
      </w:r>
      <w:r w:rsidDel="00000000" w:rsidR="00000000" w:rsidRPr="00000000">
        <w:rPr>
          <w:sz w:val="24"/>
          <w:szCs w:val="24"/>
          <w:rtl w:val="0"/>
        </w:rPr>
        <w:t xml:space="preserve">: In the case of Public Works, Public Projects are implemented either by contractors (Sellers) selected through a public call for tender or by the public body’s own means.</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See for </w:t>
      </w:r>
      <w:r w:rsidDel="00000000" w:rsidR="00000000" w:rsidRPr="00000000">
        <w:rPr>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left="0" w:firstLine="0"/>
        <w:contextualSpacing w:val="0"/>
        <w:jc w:val="both"/>
      </w:pPr>
      <w:r w:rsidDel="00000000" w:rsidR="00000000" w:rsidRPr="00000000">
        <w:rPr>
          <w:b w:val="1"/>
          <w:sz w:val="24"/>
          <w:szCs w:val="24"/>
          <w:rtl w:val="0"/>
        </w:rPr>
        <w:t xml:space="preserve">A1.1. Subproject as Contract</w:t>
      </w:r>
      <w:r w:rsidDel="00000000" w:rsidR="00000000" w:rsidRPr="00000000">
        <w:rPr>
          <w:sz w:val="24"/>
          <w:szCs w:val="24"/>
          <w:rtl w:val="0"/>
        </w:rPr>
        <w:t xml:space="preserve">: Subproject is a part of a Public Work that corresponds to the implementation of a distinct part of the total deliverable. The fact that Public Works are implemented by contractors (Sellers) selected through a public call for tender lead us to represent them as individual contracts in order to accomplish conceptual homogeneity in the public finance domain.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4"/>
          <w:szCs w:val="24"/>
          <w:rtl w:val="0"/>
        </w:rPr>
        <w:t xml:space="preserve">A2. Subsidy</w:t>
      </w:r>
      <w:r w:rsidDel="00000000" w:rsidR="00000000" w:rsidRPr="00000000">
        <w:rPr>
          <w:sz w:val="24"/>
          <w:szCs w:val="24"/>
          <w:rtl w:val="0"/>
        </w:rPr>
        <w:t xml:space="preserve">: Subsidies are government payments (or transfers, in economic terms) to firms or individuals based on an open call (in most cases) and followed by an agreed business plan. In the case of Subsidies the resulted products or services are remaining in the ownership of the Beneficiary.</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Buyer</w:t>
      </w:r>
      <w:r w:rsidDel="00000000" w:rsidR="00000000" w:rsidRPr="00000000">
        <w:rPr>
          <w:sz w:val="24"/>
          <w:szCs w:val="24"/>
          <w:rtl w:val="0"/>
        </w:rPr>
        <w:t xml:space="preserve">: Buyer of a service or product from a Seller.</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Beneficiary</w:t>
      </w:r>
      <w:r w:rsidDel="00000000" w:rsidR="00000000" w:rsidRPr="00000000">
        <w:rPr>
          <w:sz w:val="24"/>
          <w:szCs w:val="24"/>
          <w:rtl w:val="0"/>
        </w:rPr>
        <w:t xml:space="preserve">: The recipient of a subsidy. It could be any type of organisation or person.</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Aggregate(Payment/Budget/Contract)</w:t>
      </w:r>
      <w:r w:rsidDel="00000000" w:rsidR="00000000" w:rsidRPr="00000000">
        <w:rPr>
          <w:sz w:val="24"/>
          <w:szCs w:val="24"/>
          <w:rtl w:val="0"/>
        </w:rPr>
        <w:t xml:space="preserve">: This class is a conceptual entity regarding information about the aggregated amounts of some other entity. It could be Payment, Budget, Contract, Organization etc.</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Seller</w:t>
      </w:r>
      <w:r w:rsidDel="00000000" w:rsidR="00000000" w:rsidRPr="00000000">
        <w:rPr>
          <w:sz w:val="24"/>
          <w:szCs w:val="24"/>
          <w:rtl w:val="0"/>
        </w:rPr>
        <w:t xml:space="preserve">: Seller of a service or product to a Buyer.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Connections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bookmarkStart w:colFirst="0" w:colLast="0" w:name="_gjdgxs" w:id="0"/>
      <w:bookmarkEnd w:id="0"/>
      <w:r w:rsidDel="00000000" w:rsidR="00000000" w:rsidRPr="00000000">
        <w:rPr>
          <w:rtl w:val="0"/>
        </w:rPr>
        <w:t xml:space="preserve">Public Work– Contract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Public Work/Subsidy – Aggregate </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Public Work– Buyer</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Subsidy – Beneficiary</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Contract - Seller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Main Classes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elod:PublicProject  [elod:PublicWork/elod:Subsidy]</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pc:Contract</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elod:Aggregate</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foaf:Organization, gr:BusinessEntity, org:Organization, rov:RegisteredOrganization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Main Object Properties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elod:buyer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 Range: elod:PublicWork -  foaf:Organization, gr:BusinessEntity, org:Organization, rov:RegisteredOrganization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elod:beneficiary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 Range: elod:Subsidy -  foaf:Organization, gr:BusinessEntity, org:Organization, rov:RegisteredOrganization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elod:seller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 Range: pc:Contract -  foaf:Organization, gr:BusinessEntity, org:Organization, rov:RegisteredOrganization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elod:hasRelatedContract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 Range: elod:PublicWork – pc:Contract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elod:hasBudgetAggregate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 Range: elod:PublicProject[elod:PublicWork/elod:Subsidy] - elod: elod:Aggregate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elod:hasSpendingAggregate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 Range: elod:PublicProject[elod:PublicWork , elod:Subsidy] - elod:Aggregate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elod:hasContractAggregate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 Range: elod:PublicProject[elod:PublicWork , elod:Subsidy] - elod:Aggregate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elod:hasProjectStatus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 Range: elod:PublicProject[elod:PublicWork , elod:Subsidy] - skos:Concept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elod:hasOperationalCode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 Range: elod:PublicProject[elod:PublicWork , elod:Subsidy] - skos:Concept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elod:price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 Range: pc:Contract - gr:UnitPriceSpecification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elod:hasCurrency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 Range: elod:UnitPriceSpecification/elod:Aggregate - elod:Currency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Datatype Properties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gr:hasCurrencyValue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elod:aggregatedAmount</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gr:valueAddedTaxIncluded</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gr:name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dcterms:description</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dcterms:title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elod:countOfRelatedContracts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elod:completionOfPayments</w:t>
      </w:r>
    </w:p>
    <w:p w:rsidR="00000000" w:rsidDel="00000000" w:rsidP="00000000" w:rsidRDefault="00000000" w:rsidRPr="00000000">
      <w:pPr>
        <w:numPr>
          <w:ilvl w:val="0"/>
          <w:numId w:val="1"/>
        </w:numPr>
        <w:spacing w:after="0" w:before="0" w:lineRule="auto"/>
        <w:ind w:left="720" w:hanging="360"/>
        <w:contextualSpacing w:val="1"/>
        <w:rPr>
          <w:u w:val="none"/>
        </w:rPr>
      </w:pPr>
      <w:r w:rsidDel="00000000" w:rsidR="00000000" w:rsidRPr="00000000">
        <w:rPr>
          <w:rtl w:val="0"/>
        </w:rPr>
        <w:t xml:space="preserve">elod:completionOfContracts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elod:startDate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elod:endDate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following table (Table 1) presents how the main entities are modeled by using the appropriate classes. As can be seen, each distinct concept and entity is modeled using a different class. The business information is modeled using classes from well-known ontologies. The namespaces are presented in Table 3.</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Concept/Entity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Class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Public Project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elod:PublicProject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Subsidy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elod:Subsidy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Public Work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elod:PublicWork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Contract(SubProject)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pc:Contract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Aggregate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elod:Aggregate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Contract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pc:Contract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Buyer/Beneficiary/Seller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foaf:Organization</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org:Organization</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gr:BusinessEntity</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rov:RegisteredOrganization</w:t>
            </w:r>
          </w:p>
        </w:tc>
      </w:tr>
    </w:tbl>
    <w:p w:rsidR="00000000" w:rsidDel="00000000" w:rsidP="00000000" w:rsidRDefault="00000000" w:rsidRPr="00000000">
      <w:pPr>
        <w:contextualSpacing w:val="0"/>
        <w:jc w:val="center"/>
      </w:pPr>
      <w:r w:rsidDel="00000000" w:rsidR="00000000" w:rsidRPr="00000000">
        <w:rPr>
          <w:rtl w:val="0"/>
        </w:rPr>
        <w:t xml:space="preserve">Table 1: The core classes of the proposed general model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following table (Table 2) presents how the core classes are related with the appropriate properties.</w:t>
      </w:r>
    </w:p>
    <w:p w:rsidR="00000000" w:rsidDel="00000000" w:rsidP="00000000" w:rsidRDefault="00000000" w:rsidRPr="00000000">
      <w:pPr>
        <w:contextualSpacing w:val="0"/>
        <w:jc w:val="both"/>
      </w:pPr>
      <w:r w:rsidDel="00000000" w:rsidR="00000000" w:rsidRPr="00000000">
        <w:rPr>
          <w:rtl w:val="0"/>
        </w:rPr>
      </w:r>
    </w:p>
    <w:tbl>
      <w:tblPr>
        <w:tblStyle w:val="Table2"/>
        <w:bidi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1"/>
        <w:gridCol w:w="2976"/>
        <w:gridCol w:w="2692"/>
        <w:tblGridChange w:id="0">
          <w:tblGrid>
            <w:gridCol w:w="3361"/>
            <w:gridCol w:w="2976"/>
            <w:gridCol w:w="2692"/>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Domain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Property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Range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elod:PublicWork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elod:hasRelatedContract</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pc:Contract</w:t>
            </w:r>
          </w:p>
        </w:tc>
      </w:tr>
      <w:tr>
        <w:trPr>
          <w:trHeight w:val="9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elod:PublicWork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elod:buyer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Organization classes</w:t>
            </w:r>
          </w:p>
        </w:tc>
      </w:tr>
      <w:tr>
        <w:trPr>
          <w:trHeight w:val="9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elod:Subsidy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elod:beneficiary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Organization classes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elod: PublicProject, [elod:PublicWork/elod:Subsidy]</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elod:hasBudgetAggregate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elod:Aggregate</w:t>
            </w:r>
          </w:p>
        </w:tc>
      </w:tr>
      <w:tr>
        <w:trPr>
          <w:trHeight w:val="9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elod: PublicProject, [elod:PublicWork/elod:Subsidy]</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elod: hasSpendingAggregate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elod:Aggregate</w:t>
            </w:r>
          </w:p>
        </w:tc>
      </w:tr>
      <w:tr>
        <w:trPr>
          <w:trHeight w:val="9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elod: PublicProject, [elod:PublicWork/elod:Subsidy]</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elod:hasContractAggregate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elod:Aggregate</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pc:Contract</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elod:price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gr:UnitPriceSpecification</w:t>
            </w:r>
          </w:p>
        </w:tc>
      </w:tr>
    </w:tbl>
    <w:p w:rsidR="00000000" w:rsidDel="00000000" w:rsidP="00000000" w:rsidRDefault="00000000" w:rsidRPr="00000000">
      <w:pPr>
        <w:contextualSpacing w:val="0"/>
        <w:jc w:val="center"/>
      </w:pPr>
      <w:r w:rsidDel="00000000" w:rsidR="00000000" w:rsidRPr="00000000">
        <w:rPr>
          <w:rtl w:val="0"/>
        </w:rPr>
        <w:t xml:space="preserve">Table 2: The interconnections among the classes using the appropriate properties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3825"/>
        <w:gridCol w:w="3029"/>
        <w:tblGridChange w:id="0">
          <w:tblGrid>
            <w:gridCol w:w="2175"/>
            <w:gridCol w:w="3825"/>
            <w:gridCol w:w="3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Prefix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Namespace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Ontology name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foaf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http://xmlns.com/foaf/0.1/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FOAF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dcterms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http://purl.org/dc/terms/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Dublic Core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skos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http://www.w3.org/2004/02/skos/core#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SKOS Schema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gr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http://purl.org/goodrelations/v1#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Good Relations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org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http://www.w3.org/ns/org#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Organizations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rov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http://www.w3.org/ns/regorg#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Registered Organization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elod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http://linkedeconomy.org/ontology#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Linked Economy</w:t>
            </w:r>
          </w:p>
        </w:tc>
      </w:tr>
    </w:tbl>
    <w:p w:rsidR="00000000" w:rsidDel="00000000" w:rsidP="00000000" w:rsidRDefault="00000000" w:rsidRPr="00000000">
      <w:pPr>
        <w:contextualSpacing w:val="0"/>
        <w:jc w:val="center"/>
      </w:pPr>
      <w:r w:rsidDel="00000000" w:rsidR="00000000" w:rsidRPr="00000000">
        <w:rPr>
          <w:rtl w:val="0"/>
        </w:rPr>
        <w:t xml:space="preserve">Table 3: The namespaces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