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53826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OEFENINGEN op Afschrijvingen p. 725</w:t>
      </w:r>
    </w:p>
    <w:p w14:paraId="1877E00D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1. Verkooprecht</w:t>
      </w:r>
    </w:p>
    <w:p w14:paraId="49DB08D2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2024: 120.000,00 x 10 % x 8/12 = 8.000,00 (lineair)</w:t>
      </w:r>
    </w:p>
    <w:p w14:paraId="72EE3FAC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2025: 120.000,00 x 10 % = 12.000,00 (lineair)</w:t>
      </w:r>
    </w:p>
    <w:p w14:paraId="390D8C17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2. Handelspand</w:t>
      </w:r>
    </w:p>
    <w:p w14:paraId="57C429B1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ingeval bijkomende kosten aan zelfde ritme worden afgeschreven als hoofdbestanddeel</w:t>
      </w:r>
    </w:p>
    <w:p w14:paraId="1B805540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2024: (100.000,00 + 12.000.00) x 6 % x 8/12 = 4.480,00 (degressief)</w:t>
      </w:r>
    </w:p>
    <w:p w14:paraId="25534BF2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2025: (112.000,00 </w:t>
      </w:r>
      <w:r>
        <w:rPr>
          <w:rFonts w:ascii="TimesNewRomanPSMT" w:eastAsia="TimesNewRomanPSMT" w:hAnsi="TimesNewRomanPS-ItalicMT" w:cs="TimesNewRomanPSMT" w:hint="eastAsia"/>
          <w:color w:val="000000"/>
          <w:sz w:val="24"/>
          <w:szCs w:val="24"/>
        </w:rPr>
        <w:t>–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 4.480,00) x 6 %= 6.451,20 (degressief)</w:t>
      </w:r>
    </w:p>
    <w:p w14:paraId="079558A3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ingeval bijkomende kosten gebouw 100% worden afgeschreven in jaar van aanschaf</w:t>
      </w:r>
    </w:p>
    <w:p w14:paraId="077610E7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2024: 100.000,00 x 6 % x 8/12 = 4.000,00 (degressief)</w:t>
      </w:r>
    </w:p>
    <w:p w14:paraId="57731D6C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2024: 12.000,00 x 100 % = 12.000,00</w:t>
      </w:r>
    </w:p>
    <w:p w14:paraId="763C9837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2025: (100.000,00 </w:t>
      </w:r>
      <w:r>
        <w:rPr>
          <w:rFonts w:ascii="TimesNewRomanPSMT" w:eastAsia="TimesNewRomanPSMT" w:hAnsi="TimesNewRomanPS-ItalicMT" w:cs="TimesNewRomanPSMT" w:hint="eastAsia"/>
          <w:color w:val="000000"/>
          <w:sz w:val="24"/>
          <w:szCs w:val="24"/>
        </w:rPr>
        <w:t>–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 4.000,00) x 6 % = 5.760,00</w:t>
      </w:r>
    </w:p>
    <w:p w14:paraId="0DA869F9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000000"/>
          <w:sz w:val="21"/>
          <w:szCs w:val="21"/>
        </w:rPr>
      </w:pPr>
    </w:p>
    <w:p w14:paraId="10F62FD4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3. Vrachtwagen</w:t>
      </w:r>
    </w:p>
    <w:p w14:paraId="4F959E99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2024: 25.000,00 x 40 % x 8/12 = 6.666,67 (degressief)</w:t>
      </w:r>
    </w:p>
    <w:p w14:paraId="39F23178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2025: (25.000,00 </w:t>
      </w:r>
      <w:r>
        <w:rPr>
          <w:rFonts w:ascii="TimesNewRomanPSMT" w:eastAsia="TimesNewRomanPSMT" w:hAnsi="TimesNewRomanPS-ItalicMT" w:cs="TimesNewRomanPSMT" w:hint="eastAsia"/>
          <w:color w:val="000000"/>
          <w:sz w:val="24"/>
          <w:szCs w:val="24"/>
        </w:rPr>
        <w:t>–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 6.666,67) x 40 % = 7.333,33 (degressief)</w:t>
      </w:r>
    </w:p>
    <w:p w14:paraId="1B6092ED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4. Machine</w:t>
      </w:r>
    </w:p>
    <w:p w14:paraId="62F148C4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2024: 12.000,00 x 25 % x 8/12 = 2.000,00 (lineair)</w:t>
      </w:r>
    </w:p>
    <w:p w14:paraId="5D8169A8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2025: 12.000,00 x 25 % = 3.000,00 (lineair)</w:t>
      </w:r>
    </w:p>
    <w:p w14:paraId="48BF45CC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5. Personenwagen</w:t>
      </w:r>
    </w:p>
    <w:p w14:paraId="6CE56EEF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2024: inzake aankoopprijs excl. btw: [(25.000,00 x 60 % zuiver werkverkeer) x 20 % x 8/12=</w:t>
      </w:r>
    </w:p>
    <w:p w14:paraId="38DDC022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2.000,00 (lineair)</w:t>
      </w:r>
    </w:p>
    <w:p w14:paraId="2E20B530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2024: niet-aftrekbare (voor de btw) maar wel afschrijfbare (in de Dir. Belast.): btw </w:t>
      </w:r>
      <w:proofErr w:type="spellStart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mbt</w:t>
      </w:r>
      <w:proofErr w:type="spellEnd"/>
    </w:p>
    <w:p w14:paraId="37D3CE4D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werkverkeer dat &gt; 50 %: hier 10 % x 5.250: 525,00: </w:t>
      </w:r>
      <w:proofErr w:type="spellStart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afschrijfbaar</w:t>
      </w:r>
      <w:proofErr w:type="spellEnd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 in 2024 voor 525,00 x 20 % x</w:t>
      </w:r>
    </w:p>
    <w:p w14:paraId="539E2DF9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8/12 = 70,00</w:t>
      </w:r>
    </w:p>
    <w:p w14:paraId="765686AA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2025: (25.000,00 x 60 % + 525,00) x 20 % = 3.105,00 (lineair)</w:t>
      </w:r>
    </w:p>
    <w:p w14:paraId="70792675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Woon-werkverkeer: afschrijvingen daarvan worden geacht vervat te zitten in forfait van 0,15 EUR.</w:t>
      </w:r>
    </w:p>
    <w:p w14:paraId="72C55CB3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</w:p>
    <w:p w14:paraId="18822528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</w:p>
    <w:p w14:paraId="53D8392F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lastRenderedPageBreak/>
        <w:t>OEFENINGEN op investeringsaftrek p.</w:t>
      </w:r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725</w:t>
      </w:r>
    </w:p>
    <w:p w14:paraId="2916AF1F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</w:pPr>
      <w:bookmarkStart w:id="0" w:name="_GoBack"/>
      <w:bookmarkEnd w:id="0"/>
    </w:p>
    <w:p w14:paraId="6648F314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1. eenmalige investeringsaftrek: 120.000,00 x 8 % = 9.600,00</w:t>
      </w:r>
    </w:p>
    <w:p w14:paraId="17A236A9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gespreide investeringsaftrek: 8.000,00 x 12,5 % = 1.000,00</w:t>
      </w:r>
    </w:p>
    <w:p w14:paraId="4517B68E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2. geen investeringsaftrek (niet nieuw)</w:t>
      </w:r>
    </w:p>
    <w:p w14:paraId="39C3322A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3. geen investeringsaftrek (niet nieuw)</w:t>
      </w:r>
    </w:p>
    <w:p w14:paraId="1068412A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4. ingeval verhuring aan een grote vennootschap: geen investeringsaftrek (recht van gebruik wordt</w:t>
      </w:r>
    </w:p>
    <w:p w14:paraId="0A989BD0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afgestaan aan een vennootschap die zelf niet voldoet aan de voorwaarden voor eenmalige</w:t>
      </w:r>
    </w:p>
    <w:p w14:paraId="1B9E2CD8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investeringsaftrek; in </w:t>
      </w:r>
      <w:proofErr w:type="spellStart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venb</w:t>
      </w:r>
      <w:proofErr w:type="spellEnd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. geen investeringsaftrek voor </w:t>
      </w:r>
      <w:r>
        <w:rPr>
          <w:rFonts w:ascii="TimesNewRomanPSMT" w:eastAsia="TimesNewRomanPSMT" w:hAnsi="TimesNewRomanPS-ItalicMT" w:cs="TimesNewRomanPSMT" w:hint="eastAsia"/>
          <w:color w:val="000000"/>
          <w:sz w:val="24"/>
          <w:szCs w:val="24"/>
        </w:rPr>
        <w:t>‘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gewone</w:t>
      </w:r>
      <w:r>
        <w:rPr>
          <w:rFonts w:ascii="TimesNewRomanPSMT" w:eastAsia="TimesNewRomanPSMT" w:hAnsi="TimesNewRomanPS-ItalicMT" w:cs="TimesNewRomanPSMT" w:hint="eastAsia"/>
          <w:color w:val="000000"/>
          <w:sz w:val="24"/>
          <w:szCs w:val="24"/>
        </w:rPr>
        <w:t>’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 investeringen door grote</w:t>
      </w:r>
    </w:p>
    <w:p w14:paraId="1E2B0960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vennootschap)</w:t>
      </w:r>
    </w:p>
    <w:p w14:paraId="74137679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ingeval verhuring aan een kleine vennootschap: wel investeringsaftrek mogelijk.</w:t>
      </w:r>
    </w:p>
    <w:p w14:paraId="29B4EE8E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eenmalige investeringsaftrek: 12.000,00 x 8 % = 960,00</w:t>
      </w:r>
    </w:p>
    <w:p w14:paraId="1D3074F6" w14:textId="77777777" w:rsidR="00173834" w:rsidRDefault="00173834" w:rsidP="00173834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gespreide investeringsaftrek: 2.000,00 x 12,5 % = 250,00</w:t>
      </w:r>
    </w:p>
    <w:p w14:paraId="6703BDC2" w14:textId="77777777" w:rsidR="001028FF" w:rsidRDefault="00173834" w:rsidP="00173834"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5. geen investeringsaftrek (voor personenwagen)</w:t>
      </w:r>
    </w:p>
    <w:sectPr w:rsidR="00102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34"/>
    <w:rsid w:val="001028FF"/>
    <w:rsid w:val="0017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FAD91"/>
  <w15:chartTrackingRefBased/>
  <w15:docId w15:val="{EF87FE7A-EBB2-4D45-896A-B8337BA8F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E17CF85B-B6E4-42F9-950B-20C24467EA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8A11D1-4280-4823-B444-3C99D632A4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820D68-6E23-4A38-B676-AF8409851948}">
  <ds:schemaRefs>
    <ds:schemaRef ds:uri="http://purl.org/dc/terms/"/>
    <ds:schemaRef ds:uri="http://www.w3.org/XML/1998/namespace"/>
    <ds:schemaRef ds:uri="http://schemas.microsoft.com/office/2006/documentManagement/types"/>
    <ds:schemaRef ds:uri="6ffa28ab-f4e9-4646-b1c8-1ed7cbec7b44"/>
    <ds:schemaRef ds:uri="http://purl.org/dc/dcmitype/"/>
    <ds:schemaRef ds:uri="ef58bec8-646d-40b6-a7d0-b847fdf4e174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2026-03-27T09:55:00Z</dcterms:created>
  <dcterms:modified xsi:type="dcterms:W3CDTF">2026-03-27T09:56:00Z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