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8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567"/>
        <w:gridCol w:w="1133"/>
        <w:gridCol w:w="1697"/>
        <w:gridCol w:w="431"/>
        <w:gridCol w:w="1558"/>
        <w:gridCol w:w="993"/>
        <w:gridCol w:w="1842"/>
      </w:tblGrid>
      <w:tr>
        <w:trPr>
          <w:trHeight w:val="993" w:hRule="atLeast"/>
        </w:trPr>
        <w:tc>
          <w:tcPr>
            <w:tcW w:w="9781" w:type="dxa"/>
            <w:gridSpan w:val="8"/>
            <w:tcBorders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государственное бюджетное профессиональное образовательное учреждение</w:t>
            </w:r>
          </w:p>
          <w:p>
            <w:pPr>
              <w:pStyle w:val="Normal"/>
              <w:jc w:val="center"/>
              <w:rPr>
                <w:caps/>
                <w:sz w:val="28"/>
                <w:szCs w:val="28"/>
              </w:rPr>
            </w:pPr>
            <w:r>
              <w:rPr>
                <w:caps/>
                <w:sz w:val="28"/>
                <w:szCs w:val="28"/>
              </w:rPr>
              <w:t>Нефтекамский машиностроительный колледж</w:t>
            </w:r>
          </w:p>
        </w:tc>
      </w:tr>
      <w:tr>
        <w:trPr>
          <w:trHeight w:val="2398" w:hRule="atLeast"/>
        </w:trPr>
        <w:tc>
          <w:tcPr>
            <w:tcW w:w="9781" w:type="dxa"/>
            <w:gridSpan w:val="8"/>
            <w:tcBorders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18" w:hRule="atLeast"/>
        </w:trPr>
        <w:tc>
          <w:tcPr>
            <w:tcW w:w="9781" w:type="dxa"/>
            <w:gridSpan w:val="8"/>
            <w:tcBorders/>
            <w:vAlign w:val="bottom"/>
          </w:tcPr>
          <w:p>
            <w:pPr>
              <w:pStyle w:val="Heading1"/>
              <w:spacing w:before="240" w:after="142"/>
              <w:ind w:hanging="0" w:left="0"/>
              <w:jc w:val="center"/>
              <w:rPr>
                <w:rFonts w:ascii="Times New Roman" w:hAnsi="Times New Roman"/>
                <w:b w:val="false"/>
                <w:sz w:val="40"/>
                <w:szCs w:val="40"/>
              </w:rPr>
            </w:pPr>
            <w:r>
              <w:rPr>
                <w:rFonts w:ascii="Times New Roman" w:hAnsi="Times New Roman"/>
                <w:b w:val="false"/>
                <w:sz w:val="40"/>
                <w:szCs w:val="40"/>
              </w:rPr>
              <w:t>Лабораторная работа №1</w:t>
            </w:r>
          </w:p>
        </w:tc>
      </w:tr>
      <w:tr>
        <w:trPr>
          <w:trHeight w:val="89" w:hRule="atLeast"/>
          <w:cantSplit w:val="true"/>
        </w:trPr>
        <w:tc>
          <w:tcPr>
            <w:tcW w:w="9781" w:type="dxa"/>
            <w:gridSpan w:val="8"/>
            <w:tcBorders/>
          </w:tcPr>
          <w:p>
            <w:pPr>
              <w:pStyle w:val="Normal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по профилю специальности</w:t>
            </w:r>
          </w:p>
          <w:p>
            <w:pPr>
              <w:pStyle w:val="Normal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</w:tr>
      <w:tr>
        <w:trPr>
          <w:trHeight w:val="843" w:hRule="atLeast"/>
          <w:cantSplit w:val="true"/>
        </w:trPr>
        <w:tc>
          <w:tcPr>
            <w:tcW w:w="9781" w:type="dxa"/>
            <w:gridSpan w:val="8"/>
            <w:tcBorders/>
          </w:tcPr>
          <w:p>
            <w:pPr>
              <w:pStyle w:val="Normal"/>
              <w:spacing w:lineRule="auto" w:line="360"/>
              <w:jc w:val="center"/>
              <w:rPr>
                <w:color w:val="FF0000"/>
                <w:sz w:val="32"/>
                <w:szCs w:val="28"/>
              </w:rPr>
            </w:pPr>
            <w:r>
              <w:rPr>
                <w:sz w:val="32"/>
                <w:szCs w:val="28"/>
              </w:rPr>
              <w:t xml:space="preserve">ДИСЦИПЛИНА: </w:t>
            </w:r>
            <w:bookmarkStart w:id="0" w:name="yui_3_17_2_1_1757057707547_32"/>
            <w:bookmarkEnd w:id="0"/>
            <w:r>
              <w:rPr>
                <w:color w:val="0D0D0D"/>
                <w:sz w:val="32"/>
                <w:szCs w:val="28"/>
              </w:rPr>
              <w:t>Внедрение и поддержка компьютерных систем</w:t>
            </w:r>
          </w:p>
          <w:p>
            <w:pPr>
              <w:pStyle w:val="Normal"/>
              <w:spacing w:lineRule="auto" w:line="360"/>
              <w:jc w:val="center"/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 xml:space="preserve">ТЕМА: </w:t>
            </w:r>
            <w:bookmarkStart w:id="1" w:name="yui_3_17_2_1_1757654509539_50"/>
            <w:bookmarkEnd w:id="1"/>
            <w:r>
              <w:rPr>
                <w:sz w:val="32"/>
                <w:szCs w:val="28"/>
              </w:rPr>
              <w:t>Выявление и решение проблем аппаратного сбоя</w:t>
            </w:r>
          </w:p>
          <w:p>
            <w:pPr>
              <w:pStyle w:val="Normal"/>
              <w:spacing w:lineRule="auto" w:line="360"/>
              <w:jc w:val="center"/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</w:r>
          </w:p>
        </w:tc>
      </w:tr>
      <w:tr>
        <w:trPr>
          <w:trHeight w:val="784" w:hRule="atLeast"/>
          <w:cantSplit w:val="true"/>
        </w:trPr>
        <w:tc>
          <w:tcPr>
            <w:tcW w:w="9781" w:type="dxa"/>
            <w:gridSpan w:val="8"/>
            <w:tcBorders/>
            <w:vAlign w:val="bottom"/>
          </w:tcPr>
          <w:p>
            <w:pPr>
              <w:pStyle w:val="Normal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  <w:p>
            <w:pPr>
              <w:pStyle w:val="Normal"/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</w:rPr>
              <w:t>ПР ИС121.М-1840</w:t>
            </w:r>
          </w:p>
        </w:tc>
      </w:tr>
      <w:tr>
        <w:trPr>
          <w:trHeight w:val="738" w:hRule="atLeast"/>
          <w:cantSplit w:val="true"/>
        </w:trPr>
        <w:tc>
          <w:tcPr>
            <w:tcW w:w="9781" w:type="dxa"/>
            <w:gridSpan w:val="8"/>
            <w:tcBorders/>
          </w:tcPr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907" w:hRule="atLeast"/>
          <w:cantSplit w:val="true"/>
        </w:trPr>
        <w:tc>
          <w:tcPr>
            <w:tcW w:w="2127" w:type="dxa"/>
            <w:gridSpan w:val="2"/>
            <w:tcBorders/>
          </w:tcPr>
          <w:p>
            <w:pPr>
              <w:pStyle w:val="Heading2"/>
              <w:ind w:hanging="0" w:left="0"/>
              <w:rPr/>
            </w:pPr>
            <w:r>
              <w:rPr/>
              <w:t>Специальность</w:t>
            </w:r>
          </w:p>
        </w:tc>
        <w:tc>
          <w:tcPr>
            <w:tcW w:w="7654" w:type="dxa"/>
            <w:gridSpan w:val="6"/>
            <w:tcBorders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>
        <w:trPr>
          <w:trHeight w:val="454" w:hRule="atLeast"/>
          <w:cantSplit w:val="true"/>
        </w:trPr>
        <w:tc>
          <w:tcPr>
            <w:tcW w:w="2127" w:type="dxa"/>
            <w:gridSpan w:val="2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7654" w:type="dxa"/>
            <w:gridSpan w:val="6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Муртазин Эмиль Венерович</w:t>
            </w:r>
          </w:p>
        </w:tc>
      </w:tr>
      <w:tr>
        <w:trPr>
          <w:trHeight w:val="680" w:hRule="atLeast"/>
          <w:cantSplit w:val="true"/>
        </w:trPr>
        <w:tc>
          <w:tcPr>
            <w:tcW w:w="1560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1700" w:type="dxa"/>
            <w:gridSpan w:val="2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ИС121</w:t>
            </w:r>
          </w:p>
        </w:tc>
        <w:tc>
          <w:tcPr>
            <w:tcW w:w="2128" w:type="dxa"/>
            <w:gridSpan w:val="2"/>
            <w:tcBorders/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551" w:type="dxa"/>
            <w:gridSpan w:val="2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184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очная</w:t>
            </w:r>
          </w:p>
        </w:tc>
      </w:tr>
      <w:tr>
        <w:trPr>
          <w:trHeight w:val="1083" w:hRule="atLeast"/>
          <w:cantSplit w:val="true"/>
        </w:trPr>
        <w:tc>
          <w:tcPr>
            <w:tcW w:w="4957" w:type="dxa"/>
            <w:gridSpan w:val="4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9" w:type="dxa"/>
            <w:gridSpan w:val="2"/>
            <w:tcBorders/>
            <w:vAlign w:val="bottom"/>
          </w:tcPr>
          <w:p>
            <w:pPr>
              <w:pStyle w:val="Normal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</w:r>
          </w:p>
        </w:tc>
        <w:tc>
          <w:tcPr>
            <w:tcW w:w="2835" w:type="dxa"/>
            <w:gridSpan w:val="2"/>
            <w:tcBorders/>
            <w:vAlign w:val="bottom"/>
          </w:tcPr>
          <w:p>
            <w:pPr>
              <w:pStyle w:val="Heading2"/>
              <w:ind w:hanging="0" w:left="0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854" w:hRule="atLeast"/>
          <w:cantSplit w:val="true"/>
        </w:trPr>
        <w:tc>
          <w:tcPr>
            <w:tcW w:w="4957" w:type="dxa"/>
            <w:gridSpan w:val="4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989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mc:AlternateContent>
                <mc:Choice Requires="wps">
                  <w:drawing>
                    <wp:anchor behindDoc="0" distT="635" distB="0" distL="0" distR="0" simplePos="0" locked="0" layoutInCell="1" allowOverlap="1" relativeHeight="2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514350</wp:posOffset>
                      </wp:positionV>
                      <wp:extent cx="800100" cy="240665"/>
                      <wp:effectExtent l="0" t="635" r="0" b="0"/>
                      <wp:wrapNone/>
                      <wp:docPr id="1" name="Text Box 1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280" cy="2408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Style1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(подпись)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Text Box 19" path="m0,0l-2147483645,0l-2147483645,-2147483646l0,-2147483646xe" stroked="f" o:allowincell="f" style="position:absolute;margin-left:16pt;margin-top:40.5pt;width:62.95pt;height:18.9pt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Style1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(подпись)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2835" w:type="dxa"/>
            <w:gridSpan w:val="2"/>
            <w:tcBorders/>
            <w:vAlign w:val="bottom"/>
          </w:tcPr>
          <w:p>
            <w:pPr>
              <w:pStyle w:val="Heading2"/>
              <w:ind w:hanging="0" w:left="0"/>
              <w:rPr>
                <w:szCs w:val="28"/>
              </w:rPr>
            </w:pPr>
            <w:r>
              <w:rPr>
                <w:szCs w:val="28"/>
              </w:rPr>
              <w:t>Серебряков И.А.</w:t>
            </w:r>
          </w:p>
        </w:tc>
      </w:tr>
      <w:tr>
        <w:trPr>
          <w:trHeight w:val="710" w:hRule="atLeast"/>
          <w:cantSplit w:val="true"/>
        </w:trPr>
        <w:tc>
          <w:tcPr>
            <w:tcW w:w="4957" w:type="dxa"/>
            <w:gridSpan w:val="4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mc:AlternateContent>
                <mc:Choice Requires="wps">
                  <w:drawing>
                    <wp:anchor behindDoc="0" distT="635" distB="0" distL="0" distR="0" simplePos="0" locked="0" layoutInCell="1" allowOverlap="1" relativeHeight="4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422910</wp:posOffset>
                      </wp:positionV>
                      <wp:extent cx="562610" cy="240665"/>
                      <wp:effectExtent l="0" t="635" r="0" b="0"/>
                      <wp:wrapNone/>
                      <wp:docPr id="2" name="Text Box 1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2680" cy="2408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Style1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(дата)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Text Box 17" path="m0,0l-2147483645,0l-2147483645,-2147483646l0,-2147483646xe" stroked="f" o:allowincell="f" style="position:absolute;margin-left:25pt;margin-top:33.3pt;width:44.25pt;height:18.9pt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Style1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(дата)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2835" w:type="dxa"/>
            <w:gridSpan w:val="2"/>
            <w:tcBorders/>
            <w:vAlign w:val="bottom"/>
          </w:tcPr>
          <w:p>
            <w:pPr>
              <w:pStyle w:val="Heading2"/>
              <w:ind w:hanging="0" w:left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704" w:hRule="atLeast"/>
          <w:cantSplit w:val="true"/>
        </w:trPr>
        <w:tc>
          <w:tcPr>
            <w:tcW w:w="4957" w:type="dxa"/>
            <w:gridSpan w:val="4"/>
            <w:tcBorders/>
            <w:vAlign w:val="bottom"/>
          </w:tcPr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  <w:t>Оценка</w:t>
            </w:r>
          </w:p>
        </w:tc>
        <w:tc>
          <w:tcPr>
            <w:tcW w:w="198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835" w:type="dxa"/>
            <w:gridSpan w:val="2"/>
            <w:tcBorders/>
            <w:vAlign w:val="bottom"/>
          </w:tcPr>
          <w:p>
            <w:pPr>
              <w:pStyle w:val="Heading2"/>
              <w:ind w:hanging="0" w:left="0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395" w:hRule="atLeast"/>
          <w:cantSplit w:val="true"/>
        </w:trPr>
        <w:tc>
          <w:tcPr>
            <w:tcW w:w="4957" w:type="dxa"/>
            <w:gridSpan w:val="4"/>
            <w:tcBorders/>
            <w:vAlign w:val="bottom"/>
          </w:tcPr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89" w:type="dxa"/>
            <w:gridSpan w:val="2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835" w:type="dxa"/>
            <w:gridSpan w:val="2"/>
            <w:tcBorders/>
            <w:vAlign w:val="bottom"/>
          </w:tcPr>
          <w:p>
            <w:pPr>
              <w:pStyle w:val="Heading2"/>
              <w:ind w:hanging="0" w:left="0"/>
              <w:rPr/>
            </w:pPr>
            <w:r>
              <w:rPr/>
            </w:r>
          </w:p>
        </w:tc>
      </w:tr>
      <w:tr>
        <w:trPr>
          <w:trHeight w:val="1005" w:hRule="atLeast"/>
          <w:cantSplit w:val="true"/>
        </w:trPr>
        <w:tc>
          <w:tcPr>
            <w:tcW w:w="9781" w:type="dxa"/>
            <w:gridSpan w:val="8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</w:r>
          </w:p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2025</w:t>
            </w:r>
          </w:p>
        </w:tc>
      </w:tr>
    </w:tbl>
    <w:p>
      <w:pPr>
        <w:sectPr>
          <w:type w:val="nextPage"/>
          <w:pgSz w:w="11906" w:h="16838"/>
          <w:pgMar w:left="1531" w:right="737" w:gutter="0" w:header="0" w:top="851" w:footer="0" w:bottom="567"/>
          <w:pgNumType w:fmt="decimal"/>
          <w:formProt w:val="false"/>
          <w:textDirection w:val="lrTb"/>
          <w:docGrid w:type="default" w:linePitch="100" w:charSpace="4294959103"/>
        </w:sectPr>
      </w:pP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Style w:val="Strong"/>
          <w:b w:val="false"/>
          <w:bCs w:val="false"/>
          <w:sz w:val="28"/>
          <w:szCs w:val="28"/>
        </w:rPr>
        <w:t>1. Введение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 как я на Linux Mint я буду использовать Wine для установки пары программ для лабораторной работы. В них входят Everest и CPU</w:t>
        <w:softHyphen/>
      </w:r>
      <w:r>
        <w:rPr>
          <w:rFonts w:eastAsia="OpenSymbol" w:cs="OpenSymbol" w:ascii="OpenSymbol" w:hAnsi="OpenSymbol"/>
          <w:sz w:val="28"/>
          <w:szCs w:val="28"/>
        </w:rPr>
        <w:t>–</w:t>
      </w:r>
      <w:r>
        <w:rPr>
          <w:sz w:val="28"/>
          <w:szCs w:val="28"/>
        </w:rPr>
        <w:t>Z и альтеранативы dmidecode и hardinfo заместо Fresh Diagnose, Belarc Advisor.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Ск</w:t>
      </w:r>
      <w:r>
        <w:rPr>
          <w:sz w:val="28"/>
          <w:szCs w:val="28"/>
        </w:rPr>
        <w:t>ачиваю я файлы через Wine просто .exe файлы установщики.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250190"/>
            <wp:effectExtent l="0" t="0" r="0" b="0"/>
            <wp:docPr id="3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Рисунок 1 </w:t>
        <w:softHyphen/>
        <w:t>– устан</w:t>
      </w:r>
      <w:r>
        <w:rPr>
          <w:sz w:val="28"/>
          <w:szCs w:val="28"/>
        </w:rPr>
        <w:t>ов</w:t>
      </w:r>
      <w:r>
        <w:rPr>
          <w:sz w:val="28"/>
          <w:szCs w:val="28"/>
        </w:rPr>
        <w:t>ка программ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689350" cy="3569970"/>
            <wp:effectExtent l="0" t="0" r="0" b="0"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/>
      </w:pPr>
      <w:r>
        <w:rPr>
          <w:sz w:val="28"/>
          <w:szCs w:val="28"/>
        </w:rPr>
        <w:t>Рисунок 2 – CPU–Z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r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видно</w:t>
      </w:r>
      <w:r>
        <w:rPr>
          <w:sz w:val="28"/>
          <w:szCs w:val="28"/>
        </w:rPr>
        <w:t xml:space="preserve"> программ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CPU-Z и её окно с информацией о процессоре: Intel Core i5-7300HQ, архитектур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, тактовая частота 2,50 ГГц, 4 ядра и 4 потока, кэш-память , технологический процесс 14 нм, поддержка инструкций SSE, AVX и других.  </w:t>
      </w:r>
      <w:r>
        <w:rPr>
          <w:sz w:val="28"/>
          <w:szCs w:val="28"/>
        </w:rPr>
        <w:t xml:space="preserve">А на рисунке 3 видно сколько памяти есь всего </w:t>
      </w:r>
      <w:r>
        <w:rPr>
          <w:rFonts w:eastAsia="OpenSymbol" w:cs="OpenSymbol" w:ascii="OpenSymbol" w:hAnsi="OpenSymbol"/>
          <w:sz w:val="28"/>
          <w:szCs w:val="28"/>
        </w:rPr>
        <w:t>–</w:t>
      </w:r>
      <w:r>
        <w:rPr>
          <w:rFonts w:eastAsia="Times New Roman" w:cs="Times New Roman"/>
          <w:sz w:val="28"/>
          <w:szCs w:val="28"/>
        </w:rPr>
        <w:t xml:space="preserve"> 8гб.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229610" cy="1285240"/>
            <wp:effectExtent l="0" t="0" r="0" b="0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1867" t="7810" r="14817" b="58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/>
      </w:pPr>
      <w:r>
        <w:rPr>
          <w:sz w:val="28"/>
          <w:szCs w:val="28"/>
        </w:rPr>
        <w:t>Рисуно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к 3 – П</w:t>
      </w:r>
      <w:r>
        <w:rPr>
          <w:rFonts w:eastAsia="Times New Roman" w:cs="Times New Roman"/>
          <w:sz w:val="28"/>
          <w:szCs w:val="28"/>
        </w:rPr>
        <w:t>амять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474720" cy="3442970"/>
            <wp:effectExtent l="0" t="0" r="0" b="0"/>
            <wp:docPr id="6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/>
      </w:pPr>
      <w:r>
        <w:rPr>
          <w:sz w:val="28"/>
          <w:szCs w:val="28"/>
        </w:rPr>
        <w:t>Рисуно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к 4 – бен</w:t>
      </w:r>
      <w:r>
        <w:rPr>
          <w:rFonts w:eastAsia="Times New Roman" w:cs="Times New Roman"/>
          <w:position w:val="0"/>
          <w:sz w:val="28"/>
          <w:sz w:val="28"/>
          <w:szCs w:val="28"/>
          <w:vertAlign w:val="baseline"/>
        </w:rPr>
        <w:t>чмарк CPU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CPU</w:t>
      </w:r>
      <w:r>
        <w:rPr>
          <w:rFonts w:eastAsia="OpenSymbol" w:cs="OpenSymbol" w:ascii="OpenSymbol" w:hAnsi="OpenSymbol"/>
          <w:sz w:val="28"/>
          <w:szCs w:val="28"/>
        </w:rPr>
        <w:t>–</w:t>
      </w:r>
      <w:r>
        <w:rPr>
          <w:rFonts w:eastAsia="Times New Roman" w:cs="Times New Roman"/>
          <w:sz w:val="28"/>
          <w:szCs w:val="28"/>
        </w:rPr>
        <w:t>Z</w:t>
      </w:r>
      <w:r>
        <w:rPr>
          <w:sz w:val="28"/>
          <w:szCs w:val="28"/>
        </w:rPr>
        <w:t xml:space="preserve"> проводит бенчмарк в двух режимах: однопоточный (CPU Single Thread) и многопоточный (CPU Multi Thread). В однопоточном режиме результат текущего процессора составляет 291 балла, в то время как </w:t>
      </w:r>
      <w:r>
        <w:rPr>
          <w:sz w:val="28"/>
          <w:szCs w:val="28"/>
        </w:rPr>
        <w:t>для сравнения идеальное эталонное</w:t>
      </w:r>
      <w:r>
        <w:rPr>
          <w:sz w:val="28"/>
          <w:szCs w:val="28"/>
        </w:rPr>
        <w:t xml:space="preserve"> 931. В многопоточном режиме результат равен 967 балла против эталона в 16700 баллов</w:t>
      </w:r>
      <w:r>
        <w:rPr>
          <w:sz w:val="28"/>
          <w:szCs w:val="28"/>
        </w:rPr>
        <w:t>(сравнение с i9-14900K)</w:t>
      </w:r>
      <w:r>
        <w:rPr>
          <w:sz w:val="28"/>
          <w:szCs w:val="28"/>
        </w:rPr>
        <w:t xml:space="preserve">. Это позволяет оценить относительную производительность процессора Intel Core i5-7300HQ по сравнению с другими моделями. 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229735" cy="3322955"/>
            <wp:effectExtent l="0" t="0" r="0" b="0"/>
            <wp:docPr id="7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3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/>
      </w:pPr>
      <w:r>
        <w:rPr>
          <w:sz w:val="28"/>
          <w:szCs w:val="28"/>
        </w:rPr>
        <w:t>Рисун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ок 5 </w:t>
        <w:softHyphen/>
        <w:t>– установка EVERES</w:t>
      </w:r>
      <w:r>
        <w:rPr>
          <w:rFonts w:eastAsia="Times New Roman" w:cs="Times New Roman"/>
          <w:sz w:val="28"/>
          <w:szCs w:val="28"/>
        </w:rPr>
        <w:t>T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5040630"/>
            <wp:effectExtent l="0" t="0" r="0" b="0"/>
            <wp:docPr id="8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/>
      </w:pPr>
      <w:r>
        <w:rPr>
          <w:sz w:val="28"/>
          <w:szCs w:val="28"/>
        </w:rPr>
        <w:t>Рисунок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 6 –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информация об ОС, компонентах и сессии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4351655"/>
            <wp:effectExtent l="0" t="0" r="0" b="0"/>
            <wp:docPr id="9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Видеокарта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09315"/>
            <wp:effectExtent l="0" t="0" r="0" b="0"/>
            <wp:wrapSquare wrapText="largest"/>
            <wp:docPr id="10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8 – Процессор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EVEREST можно узнать информацию об ОС что используется, видеокарте, процессоре. Их более подробные характеристики, и дополнительная полезная информация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18965"/>
            <wp:effectExtent l="0" t="0" r="0" b="0"/>
            <wp:wrapSquare wrapText="largest"/>
            <wp:docPr id="11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 9 –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тест Кэша и Памяти</w:t>
      </w:r>
    </w:p>
    <w:p>
      <w:pPr>
        <w:pStyle w:val="Normal"/>
        <w:spacing w:lineRule="auto" w:line="360"/>
        <w:ind w:hanging="0"/>
        <w:jc w:val="center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На рисунке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показан тест производительности кэша и оперативной памяти с помощью программы EVEREST. В данном режиме оценивается скорость работы оперативной памяти и различных уровней кэш-памяти процессора (L1, L2, L3) по таким параметрам, как чтение, запись, копирование данных и задержка. Такой тест позволяет определить, насколько эффективно система обрабатывает данные, </w:t>
      </w:r>
      <w:r>
        <w:rPr>
          <w:sz w:val="28"/>
          <w:szCs w:val="28"/>
        </w:rPr>
        <w:t>особенно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 в задачах, где важна быстрая передача информации между процессором и памятью. Результаты помогают понять, насколько хорошо работает память в реальных условиях, а также выявить возможные ограничения в производительности системы. </w:t>
      </w:r>
    </w:p>
    <w:p>
      <w:pPr>
        <w:pStyle w:val="Normal"/>
        <w:spacing w:lineRule="auto" w:line="360"/>
        <w:ind w:hanging="0"/>
        <w:jc w:val="center"/>
        <w:rPr/>
      </w:pPr>
      <w:r>
        <w:rPr>
          <w:sz w:val="28"/>
          <w:szCs w:val="28"/>
        </w:rPr>
        <w:drawing>
          <wp:inline distT="0" distB="0" distL="0" distR="0">
            <wp:extent cx="6120130" cy="4341495"/>
            <wp:effectExtent l="0" t="0" r="0" b="0"/>
            <wp:docPr id="12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нок 10 – бенч</w:t>
      </w:r>
      <w:r>
        <w:rPr>
          <w:rFonts w:eastAsia="Times New Roman" w:cs="Times New Roman"/>
          <w:sz w:val="28"/>
          <w:szCs w:val="28"/>
        </w:rPr>
        <w:t>марк Диска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r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показан</w:t>
      </w:r>
      <w:r>
        <w:rPr>
          <w:sz w:val="28"/>
          <w:szCs w:val="28"/>
        </w:rPr>
        <w:t xml:space="preserve"> бенчмарк жёсткого диска или накопителя, выполненный с помощью программы EVEREST. В данном режиме оценивается скорость линейного чтения данных с диска в реальном времени. График отображает динамику скорости передачи данных (в МБ/с) по мере прохождения теста, что позволяет визуально оценить стабильность производительности накопителя. Также отображаются текущие показатели: минимальная, максимальная и средняя скорость, а также загрузка процессора (CPU%). Тест проводится на диске объёмом 78442 МБ с размером блока 64 КБ.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Из–за того что это пробаня версия, то мы буквально ничего не можем узнать из теста.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4288155"/>
            <wp:effectExtent l="0" t="0" r="0" b="0"/>
            <wp:docPr id="13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/>
      </w:pPr>
      <w:r>
        <w:rPr>
          <w:sz w:val="28"/>
          <w:szCs w:val="28"/>
        </w:rPr>
        <w:t>Рисунок 11 – hardware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3385185"/>
            <wp:effectExtent l="0" t="0" r="0" b="0"/>
            <wp:docPr id="14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/>
      </w:pPr>
      <w:r>
        <w:rPr>
          <w:sz w:val="28"/>
          <w:szCs w:val="28"/>
        </w:rPr>
        <w:t>Рису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нок 12 – процессор</w:t>
      </w:r>
    </w:p>
    <w:p>
      <w:pPr>
        <w:pStyle w:val="Normal"/>
        <w:spacing w:lineRule="auto" w:line="360"/>
        <w:ind w:hanging="0"/>
        <w:jc w:val="center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/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Я использую hardinfo как замену Fresh Diagnose, на рисунках 11-12 показаны характеристики ноутбука.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3224530"/>
            <wp:effectExtent l="0" t="0" r="0" b="0"/>
            <wp:docPr id="15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0" t="0" r="0" b="47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3056255"/>
            <wp:effectExtent l="0" t="0" r="0" b="0"/>
            <wp:docPr id="16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/>
      </w:pPr>
      <w:r>
        <w:rPr>
          <w:sz w:val="28"/>
          <w:szCs w:val="28"/>
        </w:rPr>
        <w:t>Рисунок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 13 – CPU Blowfish</w:t>
      </w:r>
    </w:p>
    <w:p>
      <w:pPr>
        <w:pStyle w:val="Normal"/>
        <w:spacing w:lineRule="auto" w:line="360"/>
        <w:ind w:hanging="0"/>
        <w:jc w:val="center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>
          <w:sz w:val="28"/>
          <w:szCs w:val="28"/>
        </w:rPr>
        <w:t xml:space="preserve">На рисунке показан </w:t>
      </w:r>
      <w:r>
        <w:rPr>
          <w:sz w:val="28"/>
          <w:szCs w:val="28"/>
        </w:rPr>
        <w:t>CPU Blowfish, который оценивает скорость выполнения криптографических вычислений с использованием алгоритма Blowfish. В верхней части окна показаны результаты различных процессоров: чем меньше время (в секундах), т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ем выше производительность. Тест проводится на основе многопоточного режима – в данном случае задействовано 4 потока.  Результаты помогают оценить эффективность </w:t>
      </w:r>
      <w:r>
        <w:rPr/>
        <w:t>ЦПУ в реальных условиях и определить его место в рейтинге производительности.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5273675"/>
            <wp:effectExtent l="0" t="0" r="0" b="0"/>
            <wp:docPr id="17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/>
      </w:pPr>
      <w:r>
        <w:rPr>
          <w:sz w:val="28"/>
          <w:szCs w:val="28"/>
        </w:rPr>
        <w:t>Рисунок 1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4 – C</w:t>
      </w:r>
      <w:r>
        <w:rPr>
          <w:rFonts w:eastAsia="Times New Roman" w:cs="Times New Roman"/>
          <w:sz w:val="28"/>
          <w:szCs w:val="28"/>
        </w:rPr>
        <w:t>PU CryptoHash</w:t>
      </w:r>
    </w:p>
    <w:p>
      <w:pPr>
        <w:pStyle w:val="Normal"/>
        <w:spacing w:lineRule="auto" w:line="360"/>
        <w:ind w:hanging="0"/>
        <w:jc w:val="center"/>
        <w:rPr>
          <w:rFonts w:ascii="Times New Roman" w:hAnsi="Times New Roman" w:eastAsia="Times New Roman" w:cs="Times New Roman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/>
      </w:pPr>
      <w:r>
        <w:rPr>
          <w:sz w:val="28"/>
          <w:szCs w:val="28"/>
        </w:rPr>
        <w:t xml:space="preserve">На </w:t>
      </w:r>
      <w:r>
        <w:rPr>
          <w:sz w:val="28"/>
          <w:szCs w:val="28"/>
        </w:rPr>
        <w:t>hbce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yrt представлен результат теста производительности процессора в программе Benchmarks – CPU CryptoHash, который оценивает скорость выполнения криптографических хеш-функций. В верхней части окна показаны результаты различных процессоров: чем меньше время (в секундах), тем выше производительность. В данном случае лучший результат – 448 секунды – показывает Intel Core i5–7300HQ, который используется для тестирования. Такой бенчмарк позволяет оценить эффективность процессора при выполнении задач, связанных с обработкой данных, шифрованием и криптографическими вычислениями. Результаты сравниваются с другими моделями процессоров, что помогает определить уровень производительности/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017135" cy="3856355"/>
            <wp:effectExtent l="0" t="0" r="0" b="0"/>
            <wp:docPr id="18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15 – сведения о процессоре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676140" cy="4259580"/>
            <wp:effectExtent l="0" t="0" r="0" b="0"/>
            <wp:docPr id="19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4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сведения о БИОС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826635" cy="5701030"/>
            <wp:effectExtent l="0" t="0" r="0" b="0"/>
            <wp:docPr id="20" name="Изображение16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6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/>
      </w:pPr>
      <w:r>
        <w:rPr>
          <w:sz w:val="28"/>
          <w:szCs w:val="28"/>
        </w:rPr>
        <w:t>Рисунок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 17 – сведения о памяти</w:t>
      </w:r>
    </w:p>
    <w:p>
      <w:pPr>
        <w:pStyle w:val="Normal"/>
        <w:spacing w:lineRule="auto" w:line="360"/>
        <w:ind w:hanging="0"/>
        <w:jc w:val="center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ru-RU" w:bidi="ar-SA"/>
        </w:rPr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>
          <w:sz w:val="28"/>
          <w:szCs w:val="28"/>
        </w:rPr>
        <w:t xml:space="preserve">На представленных изображениях показаны результаты выполнения команд в терминале Linux для получения информации о аппаратной конфигурации компьютера с помощью утилиты </w:t>
      </w:r>
      <w:r>
        <w:rPr>
          <w:rStyle w:val="Style11"/>
          <w:sz w:val="28"/>
          <w:szCs w:val="28"/>
        </w:rPr>
        <w:t>dmidecode</w:t>
      </w:r>
      <w:r>
        <w:rPr>
          <w:sz w:val="28"/>
          <w:szCs w:val="28"/>
        </w:rPr>
        <w:t xml:space="preserve">.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Первое изображение отображает данные о процессоре: используется Intel Core i5–7300HQ с тактовой частотой 2,50 ГГц, максимальная скорость – 3100 МГц, 4 ядра и 4 потока. Процессор поддерживает 64–битную архитектуру, многопоточность, защиту выполнения кода, расширенную виртуализацию и управление производительностью.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Второе изображение содержит информацию о BIOS: версия V1.21, дата выпуска – 11 февраля 2018 года, производитель – Insyde Corp. Поддерживаются такие функции, как UEFI, загрузка с CD/DVD, выборочная загрузка, ACPI, USB legacy, а также возможность обновления BIOS.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Третье изображение демонстрирует данные о памяти: установлен один модуль DDR4 объёмом 4 ГБ, тип SODIMM, частота 2400 МТ/с, производитель – Micron. Максимальная поддерживаемая ёмкость памяти – 32 ГБ. Также указаны параметры напряжения и тип памяти (синхронная небуферизированная).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Эти команды позволяют получить подробную информацию о железной части системы непосредственно из операционной системы, что полезно для диагностики, анализа совместимости и настройки оборудования.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701" w:right="567" w:gutter="0" w:header="0" w:top="851" w:footer="0" w:bottom="709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Times New Roman">
    <w:charset w:val="01"/>
    <w:family w:val="swiss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Arial" w:hAnsi="Arial"/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jc w:val="center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 w:val="true"/>
      <w:spacing w:lineRule="auto" w:line="480"/>
      <w:jc w:val="center"/>
      <w:outlineLvl w:val="3"/>
    </w:pPr>
    <w:rPr>
      <w:spacing w:val="20"/>
      <w:sz w:val="28"/>
      <w:szCs w:val="28"/>
    </w:rPr>
  </w:style>
  <w:style w:type="paragraph" w:styleId="Heading5">
    <w:name w:val="Heading 5"/>
    <w:basedOn w:val="Normal"/>
    <w:next w:val="Normal"/>
    <w:qFormat/>
    <w:pPr>
      <w:keepNext w:val="true"/>
      <w:spacing w:lineRule="auto" w:line="360"/>
      <w:jc w:val="center"/>
      <w:outlineLvl w:val="4"/>
    </w:pPr>
    <w:rPr>
      <w:sz w:val="36"/>
      <w:szCs w:val="32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mw-editsection">
    <w:name w:val="mw-editsection"/>
    <w:qFormat/>
    <w:rPr/>
  </w:style>
  <w:style w:type="character" w:styleId="mw-editsection-bracket">
    <w:name w:val="mw-editsection-bracket"/>
    <w:qFormat/>
    <w:rPr/>
  </w:style>
  <w:style w:type="character" w:styleId="mw-editsection-divider">
    <w:name w:val="mw-editsection-divider"/>
    <w:qFormat/>
    <w:rPr/>
  </w:style>
  <w:style w:type="character" w:styleId="HTML">
    <w:name w:val="Стандартный HTML Знак"/>
    <w:link w:val="HTMLPreformatted"/>
    <w:qFormat/>
    <w:rPr>
      <w:rFonts w:ascii="Courier New" w:hAnsi="Courier New" w:cs="Courier New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Style10">
    <w:name w:val="Символ нумерации"/>
    <w:qFormat/>
    <w:rPr/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Subtitle">
    <w:name w:val="Subtitle"/>
    <w:basedOn w:val="Normal"/>
    <w:qFormat/>
    <w:pPr>
      <w:jc w:val="center"/>
    </w:pPr>
    <w:rPr>
      <w:b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Style14">
    <w:name w:val="Обычный (веб)"/>
    <w:basedOn w:val="Normal"/>
    <w:qFormat/>
    <w:pPr>
      <w:spacing w:before="100" w:after="100"/>
    </w:pPr>
    <w:rPr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</w:rPr>
  </w:style>
  <w:style w:type="paragraph" w:styleId="Style15">
    <w:name w:val="Содержимое врезки"/>
    <w:basedOn w:val="Normal"/>
    <w:qFormat/>
    <w:pPr/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Style18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LibreOffice/24.2.7.2$Linux_X86_64 LibreOffice_project/420$Build-2</Application>
  <AppVersion>15.0000</AppVersion>
  <Pages>13</Pages>
  <Words>771</Words>
  <Characters>5094</Characters>
  <CharactersWithSpaces>5836</CharactersWithSpaces>
  <Paragraphs>69</Paragraphs>
  <Company>NMT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2025-06-10T04:29:00Z</dcterms:created>
  <dc:creator>ISAKOVA</dc:creator>
  <dc:description/>
  <dc:language>ru-RU</dc:language>
  <cp:lastModifiedBy/>
  <cp:lastPrinted>2014-07-03T08:06:00Z</cp:lastPrinted>
  <dcterms:modified xsi:type="dcterms:W3CDTF">2025-09-12T13:06:28Z</dcterms:modified>
  <cp:revision>9</cp:revision>
  <dc:subject/>
  <dc:title>Министерство образования  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