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6" w:name="content"/>
    <w:bookmarkStart w:id="55" w:name="X79a704e86ef2809708b7dfcfb4f236e9c2d09ef"/>
    <w:p>
      <w:pPr>
        <w:pStyle w:val="Heading1"/>
      </w:pPr>
      <w:r>
        <w:t xml:space="preserve">Animal Exposure Disposition Engine Evidence Synthesis</w:t>
      </w:r>
    </w:p>
    <w:bookmarkStart w:id="33" w:name="X085bee4bfc8d28dc7133c935462d1f7ea147d00"/>
    <w:p>
      <w:pPr>
        <w:pStyle w:val="Heading2"/>
      </w:pPr>
      <w:r>
        <w:t xml:space="preserve">Scope, evidence base, and evidence-strength rubric</w:t>
      </w:r>
    </w:p>
    <w:p>
      <w:pPr>
        <w:pStyle w:val="FirstParagraph"/>
      </w:pPr>
      <w:r>
        <w:t xml:space="preserve">This synthesis is decision-focused: it translates high-authority guidance into algorithm-ready nodes, risk strata, and disposition thresholds for a public-facing + clinician-usable triage/disposition engine covering mammalian exposures (bites, scratches, saliva contact, and indirect contact). It prioritizes hazards that materially change disposition—especially rabies/lyssaviruses, serious bite-wound bacterial infection risks (including</w:t>
      </w:r>
      <w:r>
        <w:t xml:space="preserve"> </w:t>
      </w:r>
      <w:r>
        <w:rPr>
          <w:i/>
          <w:iCs/>
        </w:rPr>
        <w:t xml:space="preserve">Pasteurella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Capnocytophaga</w:t>
      </w:r>
      <w:r>
        <w:t xml:space="preserve">), cat-scratch disease, and tetanus.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Primary guideline sources (selected for consensus relevance and public health authority) include World Health Organization</w:t>
      </w:r>
      <w:hyperlink r:id="rId22">
        <w:r>
          <w:rPr>
            <w:rStyle w:val="Hyperlink"/>
          </w:rPr>
          <w:t xml:space="preserve">[2]</w:t>
        </w:r>
      </w:hyperlink>
      <w:r>
        <w:t xml:space="preserve">, Centers for Disease Control and Prevention</w:t>
      </w:r>
      <w:hyperlink r:id="rId23">
        <w:r>
          <w:rPr>
            <w:rStyle w:val="Hyperlink"/>
          </w:rPr>
          <w:t xml:space="preserve">[3]</w:t>
        </w:r>
      </w:hyperlink>
      <w:r>
        <w:t xml:space="preserve">, Public Health Agency of Canada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(including the Canadian Immunization Guide</w:t>
      </w:r>
      <w:hyperlink r:id="rId21">
        <w:r>
          <w:rPr>
            <w:rStyle w:val="Hyperlink"/>
          </w:rPr>
          <w:t xml:space="preserve">[5]</w:t>
        </w:r>
      </w:hyperlink>
      <w:r>
        <w:t xml:space="preserve">), UK Health Security Agency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guidance, Australian Immunisation Handbook</w:t>
      </w:r>
      <w:hyperlink r:id="rId26">
        <w:r>
          <w:rPr>
            <w:rStyle w:val="Hyperlink"/>
          </w:rPr>
          <w:t xml:space="preserve">[7]</w:t>
        </w:r>
      </w:hyperlink>
      <w:r>
        <w:t xml:space="preserve">, and Infectious Diseases Society of America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SSTI guidance, with supporting regional examples from Public Health Ontario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and BC Centre for Disease Control</w:t>
      </w:r>
      <w:hyperlink r:id="rId28">
        <w:r>
          <w:rPr>
            <w:rStyle w:val="Hyperlink"/>
          </w:rPr>
          <w:t xml:space="preserve">[10]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Geographic framing: recommendations are written in en-CA and are anchored to Canada</w:t>
      </w:r>
      <w:hyperlink r:id="rId21">
        <w:r>
          <w:rPr>
            <w:rStyle w:val="Hyperlink"/>
          </w:rPr>
          <w:t xml:space="preserve">[12]</w:t>
        </w:r>
      </w:hyperlink>
      <w:r>
        <w:t xml:space="preserve">-compatible guidance while explicitly identifying where thresholds shift in United Kingdom</w:t>
      </w:r>
      <w:hyperlink r:id="rId2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and Australia</w:t>
      </w:r>
      <w:hyperlink r:id="rId2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approaches and in rabies-endemic vs non-endemic settings.</w:t>
      </w:r>
      <w:r>
        <w:t xml:space="preserve"> </w:t>
      </w:r>
      <w:hyperlink r:id="rId29">
        <w:r>
          <w:rPr>
            <w:rStyle w:val="Hyperlink"/>
          </w:rPr>
          <w:t xml:space="preserve">[15]</w:t>
        </w:r>
      </w:hyperlink>
    </w:p>
    <w:bookmarkStart w:id="32" w:name="Xb6a3f0cf3b72a3b20a6ca1ed482f6148a1394ff"/>
    <w:p>
      <w:pPr>
        <w:pStyle w:val="Heading3"/>
      </w:pPr>
      <w:r>
        <w:t xml:space="preserve">Evidence-strength rubric (for tables below)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Meaning (decision relevance)</w:t>
            </w:r>
          </w:p>
        </w:tc>
        <w:tc>
          <w:tcPr/>
          <w:p>
            <w:pPr>
              <w:pStyle w:val="Compact"/>
            </w:pPr>
            <w:r>
              <w:t xml:space="preserve">Typical source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Consistent, actionable recommendations across major guidelines and/or strong empirical support; high confidence for algorithm defaults</w:t>
            </w:r>
          </w:p>
        </w:tc>
        <w:tc>
          <w:tcPr/>
          <w:p>
            <w:pPr>
              <w:pStyle w:val="Compact"/>
            </w:pPr>
            <w:r>
              <w:t xml:space="preserve">WHO/CDC/PHAC/UKHSA/Australian Immunisation Handbook; IDSA; well-established clinical epidemiology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Guideline-supported but with variability by region/resources; evidence often observational; safe to encode with conservative failsafes</w:t>
            </w:r>
          </w:p>
        </w:tc>
        <w:tc>
          <w:tcPr/>
          <w:p>
            <w:pPr>
              <w:pStyle w:val="Compact"/>
            </w:pPr>
            <w:r>
              <w:t xml:space="preserve">National/provincial public health guidance; established reviews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Real hazard but uncommon/rare; evidence often case series/reviews; encode as “high-severity, low-frequency” with escalation rules</w:t>
            </w:r>
          </w:p>
        </w:tc>
        <w:tc>
          <w:tcPr/>
          <w:p>
            <w:pPr>
              <w:pStyle w:val="Compact"/>
            </w:pPr>
            <w:r>
              <w:t xml:space="preserve">CDC specialty zoonoses guidance; case-based literature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[18]</w:t>
              </w:r>
            </w:hyperlink>
          </w:p>
        </w:tc>
      </w:tr>
    </w:tbl>
    <w:bookmarkEnd w:id="32"/>
    <w:bookmarkEnd w:id="33"/>
    <w:bookmarkStart w:id="39" w:name="exposure-to-hazard-mapping"/>
    <w:p>
      <w:pPr>
        <w:pStyle w:val="Heading2"/>
      </w:pPr>
      <w:r>
        <w:t xml:space="preserve">Exposure-to-hazard mapping</w:t>
      </w:r>
    </w:p>
    <w:p>
      <w:pPr>
        <w:pStyle w:val="FirstParagraph"/>
      </w:pPr>
      <w:r>
        <w:rPr>
          <w:b/>
          <w:bCs/>
        </w:rPr>
        <w:t xml:space="preserve">Output 1: Exposure → Hazard Mapping Table</w:t>
      </w:r>
    </w:p>
    <w:p>
      <w:pPr>
        <w:pStyle w:val="BodyText"/>
      </w:pPr>
      <w:r>
        <w:t xml:space="preserve">Key probability language used in “Notes”: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Negligible</w:t>
      </w:r>
      <w:r>
        <w:t xml:space="preserve"> </w:t>
      </w:r>
      <w:r>
        <w:t xml:space="preserve">= essentially no plausible transmission given known biology/guidelines, except extraordinary circumstances.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Low/Moderate/High</w:t>
      </w:r>
      <w:r>
        <w:t xml:space="preserve"> </w:t>
      </w:r>
      <w:r>
        <w:t xml:space="preserve">= relative likelihood of clinically meaningful infection</w:t>
      </w:r>
      <w:r>
        <w:t xml:space="preserve"> </w:t>
      </w:r>
      <w:r>
        <w:rPr>
          <w:i/>
          <w:iCs/>
        </w:rPr>
        <w:t xml:space="preserve">if that hazard is relevant for the animal + geography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Exposure Type</w:t>
            </w:r>
          </w:p>
        </w:tc>
        <w:tc>
          <w:tcPr/>
          <w:p>
            <w:pPr>
              <w:pStyle w:val="Compact"/>
            </w:pPr>
            <w:r>
              <w:t xml:space="preserve">Animal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Plausible Hazards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Bite (penetrating / transdermal)</w:t>
            </w:r>
          </w:p>
        </w:tc>
        <w:tc>
          <w:tcPr/>
          <w:p>
            <w:pPr>
              <w:pStyle w:val="Compact"/>
            </w:pPr>
            <w:r>
              <w:t xml:space="preserve">Domestic dog/cat/ferret</w:t>
            </w:r>
          </w:p>
        </w:tc>
        <w:tc>
          <w:tcPr/>
          <w:p>
            <w:pPr>
              <w:pStyle w:val="Compact"/>
            </w:pPr>
            <w:r>
              <w:t xml:space="preserve">Saliva + oral flora inoculated into tissue; possible crush/laceration, deeper structure injury</w:t>
            </w:r>
          </w:p>
        </w:tc>
        <w:tc>
          <w:tcPr/>
          <w:p>
            <w:pPr>
              <w:pStyle w:val="Compact"/>
            </w:pPr>
            <w:r>
              <w:t xml:space="preserve">Bite-wound bacterial infection (polymicrobial, incl.</w:t>
            </w:r>
            <w:r>
              <w:t xml:space="preserve"> </w:t>
            </w:r>
            <w:r>
              <w:rPr>
                <w:i/>
                <w:iCs/>
              </w:rPr>
              <w:t xml:space="preserve">Pasteurella</w:t>
            </w:r>
            <w:r>
              <w:t xml:space="preserve">, anaerobes);</w:t>
            </w:r>
            <w:r>
              <w:t xml:space="preserve"> </w:t>
            </w:r>
            <w:r>
              <w:rPr>
                <w:i/>
                <w:iCs/>
              </w:rPr>
              <w:t xml:space="preserve">Capnocytophaga</w:t>
            </w:r>
            <w:r>
              <w:t xml:space="preserve"> </w:t>
            </w:r>
            <w:r>
              <w:t xml:space="preserve">(notably severe in certain hosts); tetanus (dirty wound); rabies depends on local epidemiology + animal status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Infection risk is meaningful and varies by species/wound; organisms reflect animal oral flora and are often polymicrobial.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Bite (penetrating / transdermal)</w:t>
            </w:r>
          </w:p>
        </w:tc>
        <w:tc>
          <w:tcPr/>
          <w:p>
            <w:pPr>
              <w:pStyle w:val="Compact"/>
            </w:pPr>
            <w:r>
              <w:t xml:space="preserve">Bat</w:t>
            </w:r>
          </w:p>
        </w:tc>
        <w:tc>
          <w:tcPr/>
          <w:p>
            <w:pPr>
              <w:pStyle w:val="Compact"/>
            </w:pPr>
            <w:r>
              <w:t xml:space="preserve">Potentially unrecognised small puncture; saliva inoculation</w:t>
            </w:r>
          </w:p>
        </w:tc>
        <w:tc>
          <w:tcPr/>
          <w:p>
            <w:pPr>
              <w:pStyle w:val="Compact"/>
            </w:pPr>
            <w:r>
              <w:t xml:space="preserve">Rabies/lyssavirus exposure; tetanus (wound); secondary bacterial infection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Bat bites may be tiny/unnoticed; direct contact with bats is treated as severe rabies exposure in WHO categories.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Bite (penetrating / transdermal)</w:t>
            </w:r>
          </w:p>
        </w:tc>
        <w:tc>
          <w:tcPr/>
          <w:p>
            <w:pPr>
              <w:pStyle w:val="Compact"/>
            </w:pPr>
            <w:r>
              <w:t xml:space="preserve">Wild terrestrial carnivores/mesocarnivores (e.g., raccoon, skunk, fox, coyote)</w:t>
            </w:r>
          </w:p>
        </w:tc>
        <w:tc>
          <w:tcPr/>
          <w:p>
            <w:pPr>
              <w:pStyle w:val="Compact"/>
            </w:pPr>
            <w:r>
              <w:t xml:space="preserve">Saliva inoculation, tissue injury</w:t>
            </w:r>
          </w:p>
        </w:tc>
        <w:tc>
          <w:tcPr/>
          <w:p>
            <w:pPr>
              <w:pStyle w:val="Compact"/>
            </w:pPr>
            <w:r>
              <w:t xml:space="preserve">Rabies/lyssavirus (higher relevance in many North American regions); bacterial infection; tetanus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These species are repeatedly identified among key rabies reservoirs/exposure sources (jurisdiction-dependent).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Bite (penetrating / transdermal)</w:t>
            </w:r>
          </w:p>
        </w:tc>
        <w:tc>
          <w:tcPr/>
          <w:p>
            <w:pPr>
              <w:pStyle w:val="Compact"/>
            </w:pPr>
            <w:r>
              <w:t xml:space="preserve">Rodents / lagomorphs (rats, mice, squirrels, rabbits, hares)</w:t>
            </w:r>
          </w:p>
        </w:tc>
        <w:tc>
          <w:tcPr/>
          <w:p>
            <w:pPr>
              <w:pStyle w:val="Compact"/>
            </w:pPr>
            <w:r>
              <w:t xml:space="preserve">Saliva inoculation</w:t>
            </w:r>
          </w:p>
        </w:tc>
        <w:tc>
          <w:tcPr/>
          <w:p>
            <w:pPr>
              <w:pStyle w:val="Compact"/>
            </w:pPr>
            <w:r>
              <w:t xml:space="preserve">Bacterial infection; tetanus; rat-bite fever (rats); rabies generally unlikely</w:t>
            </w:r>
          </w:p>
        </w:tc>
        <w:tc>
          <w:tcPr/>
          <w:p>
            <w:pPr>
              <w:pStyle w:val="Compact"/>
            </w:pPr>
            <w:r>
              <w:t xml:space="preserve">Strong for “rabies usually unlikely”; Moderate for other hazards</w:t>
            </w:r>
          </w:p>
        </w:tc>
        <w:tc>
          <w:tcPr/>
          <w:p>
            <w:pPr>
              <w:pStyle w:val="Compact"/>
            </w:pPr>
            <w:r>
              <w:t xml:space="preserve">Small rodents/lagomorphs are rarely rabid in North America; rabies PEP is rarely indicated unless behaviour is highly unusual.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Bite (penetrating / transdermal)</w:t>
            </w:r>
          </w:p>
        </w:tc>
        <w:tc>
          <w:tcPr/>
          <w:p>
            <w:pPr>
              <w:pStyle w:val="Compact"/>
            </w:pPr>
            <w:r>
              <w:t xml:space="preserve">Non-human primate</w:t>
            </w:r>
          </w:p>
        </w:tc>
        <w:tc>
          <w:tcPr/>
          <w:p>
            <w:pPr>
              <w:pStyle w:val="Compact"/>
            </w:pPr>
            <w:r>
              <w:t xml:space="preserve">Saliva/oral flora inoculation</w:t>
            </w:r>
          </w:p>
        </w:tc>
        <w:tc>
          <w:tcPr/>
          <w:p>
            <w:pPr>
              <w:pStyle w:val="Compact"/>
            </w:pPr>
            <w:r>
              <w:t xml:space="preserve">Rabies (esp. travel/exposure in endemic regions); severe bacterial infection; tetanus;</w:t>
            </w:r>
            <w:r>
              <w:t xml:space="preserve"> </w:t>
            </w:r>
            <w:r>
              <w:rPr>
                <w:b/>
                <w:bCs/>
              </w:rPr>
              <w:t xml:space="preserve">B virus</w:t>
            </w:r>
            <w:r>
              <w:t xml:space="preserve"> </w:t>
            </w:r>
            <w:r>
              <w:t xml:space="preserve">if macaque</w:t>
            </w:r>
          </w:p>
        </w:tc>
        <w:tc>
          <w:tcPr/>
          <w:p>
            <w:pPr>
              <w:pStyle w:val="Compact"/>
            </w:pPr>
            <w:r>
              <w:t xml:space="preserve">Strong for rabies/tetanus/bacterial; Limited–Moderate for B virus</w:t>
            </w:r>
          </w:p>
        </w:tc>
        <w:tc>
          <w:tcPr/>
          <w:p>
            <w:pPr>
              <w:pStyle w:val="Compact"/>
            </w:pPr>
            <w:r>
              <w:t xml:space="preserve">CDC identifies macaque exposures as requiring immediate first aid and consideration of antivirals because B virus can be severe.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Scratch (superficial, no bleeding)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Claw contamination; often minimal tissue inoculation</w:t>
            </w:r>
          </w:p>
        </w:tc>
        <w:tc>
          <w:tcPr/>
          <w:p>
            <w:pPr>
              <w:pStyle w:val="Compact"/>
            </w:pPr>
            <w:r>
              <w:t xml:space="preserve">Cat-scratch disease (Bartonella) possible; rabies generally only if saliva contamination into non-intact skin or bat-derived unusual scenarios; bacterial infection usually low; tetanus if skin truly broken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Cat-scratch disease arises after scratch or bite; classic course: inoculation lesion days–weeks; lymphadenopathy ~weeks.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Scratch (deep and/or bleeding)</w:t>
            </w:r>
          </w:p>
        </w:tc>
        <w:tc>
          <w:tcPr/>
          <w:p>
            <w:pPr>
              <w:pStyle w:val="Compact"/>
            </w:pPr>
            <w:r>
              <w:t xml:space="preserve">Dog/cat/ferret</w:t>
            </w:r>
          </w:p>
        </w:tc>
        <w:tc>
          <w:tcPr/>
          <w:p>
            <w:pPr>
              <w:pStyle w:val="Compact"/>
            </w:pPr>
            <w:r>
              <w:t xml:space="preserve">Break in skin with contamination</w:t>
            </w:r>
          </w:p>
        </w:tc>
        <w:tc>
          <w:tcPr/>
          <w:p>
            <w:pPr>
              <w:pStyle w:val="Compact"/>
            </w:pPr>
            <w:r>
              <w:t xml:space="preserve">Bacterial infection (polymicrobial;</w:t>
            </w:r>
            <w:r>
              <w:t xml:space="preserve"> </w:t>
            </w:r>
            <w:r>
              <w:rPr>
                <w:i/>
                <w:iCs/>
              </w:rPr>
              <w:t xml:space="preserve">Pasteurella</w:t>
            </w:r>
            <w:r>
              <w:t xml:space="preserve"> </w:t>
            </w:r>
            <w:r>
              <w:t xml:space="preserve">common); tetanus; rabies depends on animal/geography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Rabies transmission requires virus introduction via broken skin or mucosa.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Scratch (any)</w:t>
            </w:r>
          </w:p>
        </w:tc>
        <w:tc>
          <w:tcPr/>
          <w:p>
            <w:pPr>
              <w:pStyle w:val="Compact"/>
            </w:pPr>
            <w:r>
              <w:t xml:space="preserve">Bat</w:t>
            </w:r>
          </w:p>
        </w:tc>
        <w:tc>
          <w:tcPr/>
          <w:p>
            <w:pPr>
              <w:pStyle w:val="Compact"/>
            </w:pPr>
            <w:r>
              <w:t xml:space="preserve">Potential saliva contamination; may be hard to see</w:t>
            </w:r>
          </w:p>
        </w:tc>
        <w:tc>
          <w:tcPr/>
          <w:p>
            <w:pPr>
              <w:pStyle w:val="Compact"/>
            </w:pPr>
            <w:r>
              <w:t xml:space="preserve">Rabies/lyssavirus exposure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Canadian guidance recommends PEP when direct contact occurred and bite/scratch/saliva exposure into wound/mucosa cannot be ruled out.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Scratch (any)</w:t>
            </w:r>
          </w:p>
        </w:tc>
        <w:tc>
          <w:tcPr/>
          <w:p>
            <w:pPr>
              <w:pStyle w:val="Compact"/>
            </w:pPr>
            <w:r>
              <w:t xml:space="preserve">Rodent (rat)</w:t>
            </w:r>
          </w:p>
        </w:tc>
        <w:tc>
          <w:tcPr/>
          <w:p>
            <w:pPr>
              <w:pStyle w:val="Compact"/>
            </w:pPr>
            <w:r>
              <w:t xml:space="preserve">Break in skin; possible urine/oral secretions exposure</w:t>
            </w:r>
          </w:p>
        </w:tc>
        <w:tc>
          <w:tcPr/>
          <w:p>
            <w:pPr>
              <w:pStyle w:val="Compact"/>
            </w:pPr>
            <w:r>
              <w:t xml:space="preserve">Rat-bite fever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Transmission may occur through broken skin, bites, or scratches; incubation commonly 3–10 days (S. moniliformis).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Saliva contact with intact skin</w:t>
            </w:r>
          </w:p>
        </w:tc>
        <w:tc>
          <w:tcPr/>
          <w:p>
            <w:pPr>
              <w:pStyle w:val="Compact"/>
            </w:pPr>
            <w:r>
              <w:t xml:space="preserve">Any mammal</w:t>
            </w:r>
          </w:p>
        </w:tc>
        <w:tc>
          <w:tcPr/>
          <w:p>
            <w:pPr>
              <w:pStyle w:val="Compact"/>
            </w:pPr>
            <w:r>
              <w:t xml:space="preserve">No portal of entry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Rabies: no meaningful exposure</w:t>
            </w:r>
            <w:r>
              <w:t xml:space="preserve">; bacterial infection unlikely; tetanus not relevant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WHO Category I (licks on intact skin) is “no exposure” → no rabies prophylaxis.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Saliva contact with non-intact skin (cut/scrape/open wound)</w:t>
            </w:r>
          </w:p>
        </w:tc>
        <w:tc>
          <w:tcPr/>
          <w:p>
            <w:pPr>
              <w:pStyle w:val="Compact"/>
            </w:pPr>
            <w:r>
              <w:t xml:space="preserve">Any mammal</w:t>
            </w:r>
          </w:p>
        </w:tc>
        <w:tc>
          <w:tcPr/>
          <w:p>
            <w:pPr>
              <w:pStyle w:val="Compact"/>
            </w:pPr>
            <w:r>
              <w:t xml:space="preserve">Virus/bacteria inoculation via broken skin</w:t>
            </w:r>
          </w:p>
        </w:tc>
        <w:tc>
          <w:tcPr/>
          <w:p>
            <w:pPr>
              <w:pStyle w:val="Compact"/>
            </w:pPr>
            <w:r>
              <w:t xml:space="preserve">Rabies/lyssavirus possible (exposure category depends on guidelines); bacterial infection; tetanus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Rabies transmission occurs via broken skin or mucosa contacting infectious saliva/tissue; WHO Category III includes licks on broken skin.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Saliva contact with mucosa (eyes/nose/mouth)</w:t>
            </w:r>
          </w:p>
        </w:tc>
        <w:tc>
          <w:tcPr/>
          <w:p>
            <w:pPr>
              <w:pStyle w:val="Compact"/>
            </w:pPr>
            <w:r>
              <w:t xml:space="preserve">Any mammal</w:t>
            </w:r>
          </w:p>
        </w:tc>
        <w:tc>
          <w:tcPr/>
          <w:p>
            <w:pPr>
              <w:pStyle w:val="Compact"/>
            </w:pPr>
            <w:r>
              <w:t xml:space="preserve">Direct mucosal exposure</w:t>
            </w:r>
          </w:p>
        </w:tc>
        <w:tc>
          <w:tcPr/>
          <w:p>
            <w:pPr>
              <w:pStyle w:val="Compact"/>
            </w:pPr>
            <w:r>
              <w:t xml:space="preserve">Rabies/lyssavirus exposure; other infections uncommon but possible depending on pathogen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Rabies transmission can occur through mucous membranes; WHO Category III includes mucosal contamination with saliva.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Saliva into open wound/sore (no bite)</w:t>
            </w:r>
          </w:p>
        </w:tc>
        <w:tc>
          <w:tcPr/>
          <w:p>
            <w:pPr>
              <w:pStyle w:val="Compact"/>
            </w:pPr>
            <w:r>
              <w:t xml:space="preserve">Dog/cat</w:t>
            </w:r>
          </w:p>
        </w:tc>
        <w:tc>
          <w:tcPr/>
          <w:p>
            <w:pPr>
              <w:pStyle w:val="Compact"/>
            </w:pPr>
            <w:r>
              <w:t xml:space="preserve">Inoculation of oral flora into existing wound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Capnocytophaga</w:t>
            </w:r>
            <w:r>
              <w:t xml:space="preserve"> </w:t>
            </w:r>
            <w:r>
              <w:t xml:space="preserve">(notably in immunocompromised/asplenic/heavy alcohol use);</w:t>
            </w:r>
            <w:r>
              <w:t xml:space="preserve"> </w:t>
            </w:r>
            <w:r>
              <w:rPr>
                <w:i/>
                <w:iCs/>
              </w:rPr>
              <w:t xml:space="preserve">Pasteurella</w:t>
            </w:r>
            <w:r>
              <w:t xml:space="preserve">; other bite-wound flora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CDC explicitly notes Capnocytophaga illness can follow saliva entering an open wound/sore; severe disease can progress rapidly, especially in asplenia.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Indirect contact (petting fur; touching animal; contact with saliva on surfaces)</w:t>
            </w:r>
          </w:p>
        </w:tc>
        <w:tc>
          <w:tcPr/>
          <w:p>
            <w:pPr>
              <w:pStyle w:val="Compact"/>
            </w:pPr>
            <w:r>
              <w:t xml:space="preserve">Mammals</w:t>
            </w:r>
          </w:p>
        </w:tc>
        <w:tc>
          <w:tcPr/>
          <w:p>
            <w:pPr>
              <w:pStyle w:val="Compact"/>
            </w:pPr>
            <w:r>
              <w:t xml:space="preserve">No direct inoculation to broken skin/mucosa</w:t>
            </w:r>
          </w:p>
        </w:tc>
        <w:tc>
          <w:tcPr/>
          <w:p>
            <w:pPr>
              <w:pStyle w:val="Compact"/>
            </w:pPr>
            <w:r>
              <w:t xml:space="preserve">Rabies: not expected; bacterial infection: not expected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Rabies not transmitted via contaminated objects/materials; casual contact (petting) is not a route.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Indirect contact (rodent cages/bedding; close contact without bite)</w:t>
            </w:r>
          </w:p>
        </w:tc>
        <w:tc>
          <w:tcPr/>
          <w:p>
            <w:pPr>
              <w:pStyle w:val="Compact"/>
            </w:pPr>
            <w:r>
              <w:t xml:space="preserve">Rodents</w:t>
            </w:r>
          </w:p>
        </w:tc>
        <w:tc>
          <w:tcPr/>
          <w:p>
            <w:pPr>
              <w:pStyle w:val="Compact"/>
            </w:pPr>
            <w:r>
              <w:t xml:space="preserve">Contamination with secretions/urine; sometimes ingestion</w:t>
            </w:r>
          </w:p>
        </w:tc>
        <w:tc>
          <w:tcPr/>
          <w:p>
            <w:pPr>
              <w:pStyle w:val="Compact"/>
            </w:pPr>
            <w:r>
              <w:t xml:space="preserve">Rat-bite fever (rare but possible without bite)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CDC states RBF can occur via close contact with infected rodents without a bite/scratch; organisms present in secretions/urine.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Environmental contamination of wound (dirt/soil/feces/saliva)</w:t>
            </w:r>
          </w:p>
        </w:tc>
        <w:tc>
          <w:tcPr/>
          <w:p>
            <w:pPr>
              <w:pStyle w:val="Compact"/>
            </w:pPr>
            <w:r>
              <w:t xml:space="preserve">Any (wound context)</w:t>
            </w:r>
          </w:p>
        </w:tc>
        <w:tc>
          <w:tcPr/>
          <w:p>
            <w:pPr>
              <w:pStyle w:val="Compact"/>
            </w:pPr>
            <w:r>
              <w:t xml:space="preserve">Spore contamination; devitalized tissue risk</w:t>
            </w:r>
          </w:p>
        </w:tc>
        <w:tc>
          <w:tcPr/>
          <w:p>
            <w:pPr>
              <w:pStyle w:val="Compact"/>
            </w:pPr>
            <w:r>
              <w:t xml:space="preserve">Tetanus risk increases for “dirty/major wounds” incl. animal bites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CDC classifies wounds containing dirt/soil/feces/saliva (including animal bites) as dirty/major for tetanus risk stratification.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Bite/scratch to hand/face (any mammal)</w:t>
            </w:r>
          </w:p>
        </w:tc>
        <w:tc>
          <w:tcPr/>
          <w:p>
            <w:pPr>
              <w:pStyle w:val="Compact"/>
            </w:pPr>
            <w:r>
              <w:t xml:space="preserve">Any mammal</w:t>
            </w:r>
          </w:p>
        </w:tc>
        <w:tc>
          <w:tcPr/>
          <w:p>
            <w:pPr>
              <w:pStyle w:val="Compact"/>
            </w:pPr>
            <w:r>
              <w:t xml:space="preserve">Higher risk due to anatomy; possible joint/tendon penetration</w:t>
            </w:r>
          </w:p>
        </w:tc>
        <w:tc>
          <w:tcPr/>
          <w:p>
            <w:pPr>
              <w:pStyle w:val="Compact"/>
            </w:pPr>
            <w:r>
              <w:t xml:space="preserve">Higher risk of infection/complications; need early assessment; rabies considerations as above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IDSA recommends preemptive antibiotics for moderate–severe injuries especially to hand/face or penetrating periosteum/joint capsule.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Bite/scratch to perineum/genitals (any mammal)</w:t>
            </w:r>
          </w:p>
        </w:tc>
        <w:tc>
          <w:tcPr/>
          <w:p>
            <w:pPr>
              <w:pStyle w:val="Compact"/>
            </w:pPr>
            <w:r>
              <w:t xml:space="preserve">Any mammal</w:t>
            </w:r>
          </w:p>
        </w:tc>
        <w:tc>
          <w:tcPr/>
          <w:p>
            <w:pPr>
              <w:pStyle w:val="Compact"/>
            </w:pPr>
            <w:r>
              <w:t xml:space="preserve">Complex tissue; contamination; repair needs</w:t>
            </w:r>
          </w:p>
        </w:tc>
        <w:tc>
          <w:tcPr/>
          <w:p>
            <w:pPr>
              <w:pStyle w:val="Compact"/>
            </w:pPr>
            <w:r>
              <w:t xml:space="preserve">Infection risk; tissue injury; tetanus; rabies considerations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Merck notes wounds to perineum/genitals among those often left open initially; specialty sources describe need for careful management.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[36]</w:t>
              </w:r>
            </w:hyperlink>
          </w:p>
        </w:tc>
      </w:tr>
    </w:tbl>
    <w:bookmarkEnd w:id="39"/>
    <w:bookmarkStart w:id="42" w:name="hazard-to-actionability-matrix"/>
    <w:p>
      <w:pPr>
        <w:pStyle w:val="Heading2"/>
      </w:pPr>
      <w:r>
        <w:t xml:space="preserve">Hazard-to-actionability matrix</w:t>
      </w:r>
    </w:p>
    <w:p>
      <w:pPr>
        <w:pStyle w:val="FirstParagraph"/>
      </w:pPr>
      <w:r>
        <w:rPr>
          <w:b/>
          <w:bCs/>
        </w:rPr>
        <w:t xml:space="preserve">Output 2: Hazard → Actionability Matrix</w:t>
      </w:r>
    </w:p>
    <w:p>
      <w:pPr>
        <w:pStyle w:val="BodyText"/>
      </w:pPr>
      <w:r>
        <w:t xml:space="preserve">“Recommended Tier” here is a</w:t>
      </w:r>
      <w:r>
        <w:t xml:space="preserve"> </w:t>
      </w:r>
      <w:r>
        <w:rPr>
          <w:b/>
          <w:bCs/>
        </w:rPr>
        <w:t xml:space="preserve">default if the hazard is plausible</w:t>
      </w:r>
      <w:r>
        <w:t xml:space="preserve"> </w:t>
      </w:r>
      <w:r>
        <w:t xml:space="preserve">for the scenario; actual tier assignment should follow the scenario mapping + failsafes.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Hazard</w:t>
            </w:r>
          </w:p>
        </w:tc>
        <w:tc>
          <w:tcPr/>
          <w:p>
            <w:pPr>
              <w:pStyle w:val="Compact"/>
            </w:pPr>
            <w:r>
              <w:t xml:space="preserve">Transmission Requires</w:t>
            </w:r>
          </w:p>
        </w:tc>
        <w:tc>
          <w:tcPr/>
          <w:p>
            <w:pPr>
              <w:pStyle w:val="Compact"/>
            </w:pPr>
            <w:r>
              <w:t xml:space="preserve">Time-sensitive?</w:t>
            </w:r>
          </w:p>
        </w:tc>
        <w:tc>
          <w:tcPr/>
          <w:p>
            <w:pPr>
              <w:pStyle w:val="Compact"/>
            </w:pPr>
            <w:r>
              <w:t xml:space="preserve">Intervention Exists?</w:t>
            </w:r>
          </w:p>
        </w:tc>
        <w:tc>
          <w:tcPr/>
          <w:p>
            <w:pPr>
              <w:pStyle w:val="Compact"/>
            </w:pPr>
            <w:r>
              <w:t xml:space="preserve">Delay Risk</w:t>
            </w:r>
          </w:p>
        </w:tc>
        <w:tc>
          <w:tcPr/>
          <w:p>
            <w:pPr>
              <w:pStyle w:val="Compact"/>
            </w:pPr>
            <w:r>
              <w:t xml:space="preserve">Recommended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Rabies / lyssavirus (including bat-associated)</w:t>
            </w:r>
          </w:p>
        </w:tc>
        <w:tc>
          <w:tcPr/>
          <w:p>
            <w:pPr>
              <w:pStyle w:val="Compact"/>
            </w:pPr>
            <w:r>
              <w:t xml:space="preserve">Infectious saliva/neural tissue contacting broken skin or mucosa (or transdermal bite/scratch); WHO Category III includes direct bat contact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Yes: immediate wound cleansing; vaccine ± rabies immunoglobulin per risk and prior vaccination</w:t>
            </w:r>
          </w:p>
        </w:tc>
        <w:tc>
          <w:tcPr/>
          <w:p>
            <w:pPr>
              <w:pStyle w:val="Compact"/>
            </w:pPr>
            <w:r>
              <w:t xml:space="preserve">Catastrophic: once symptomatic, rabies is almost always fatal; PEP effective only before symptoms; treat as urgent even if exposure-to-PEP interval is not immediate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Bite-wound bacterial infection (polymicrobial)</w:t>
            </w:r>
          </w:p>
        </w:tc>
        <w:tc>
          <w:tcPr/>
          <w:p>
            <w:pPr>
              <w:pStyle w:val="Compact"/>
            </w:pPr>
            <w:r>
              <w:t xml:space="preserve">Skin break with oral flora inoculation</w:t>
            </w:r>
          </w:p>
        </w:tc>
        <w:tc>
          <w:tcPr/>
          <w:p>
            <w:pPr>
              <w:pStyle w:val="Compact"/>
            </w:pPr>
            <w:r>
              <w:t xml:space="preserve">Yes (for deep/high-risk wounds)</w:t>
            </w:r>
          </w:p>
        </w:tc>
        <w:tc>
          <w:tcPr/>
          <w:p>
            <w:pPr>
              <w:pStyle w:val="Compact"/>
            </w:pPr>
            <w:r>
              <w:t xml:space="preserve">Yes: irrigation/debridement; antibiotics for high-risk or established infection</w:t>
            </w:r>
          </w:p>
        </w:tc>
        <w:tc>
          <w:tcPr/>
          <w:p>
            <w:pPr>
              <w:pStyle w:val="Compact"/>
            </w:pPr>
            <w:r>
              <w:t xml:space="preserve">Moderate–high: can progress to deep space infection, septic arthritis, osteomyelitis; earlier care improves outcomes</w:t>
            </w:r>
          </w:p>
        </w:tc>
        <w:tc>
          <w:tcPr/>
          <w:p>
            <w:pPr>
              <w:pStyle w:val="Compact"/>
            </w:pPr>
            <w:r>
              <w:t xml:space="preserve">Tier 2 (Tier 1 if severe/deep, systemic signs, hand/face, or immunocompromised)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Pasteurella</w:t>
            </w:r>
            <w:r>
              <w:t xml:space="preserve"> </w:t>
            </w:r>
            <w:r>
              <w:t xml:space="preserve">soft tissue infection</w:t>
            </w:r>
          </w:p>
        </w:tc>
        <w:tc>
          <w:tcPr/>
          <w:p>
            <w:pPr>
              <w:pStyle w:val="Compact"/>
            </w:pPr>
            <w:r>
              <w:t xml:space="preserve">Skin break from bite/scratch; sometimes licking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Yes: appropriate antibiotics</w:t>
            </w:r>
          </w:p>
        </w:tc>
        <w:tc>
          <w:tcPr/>
          <w:p>
            <w:pPr>
              <w:pStyle w:val="Compact"/>
            </w:pPr>
            <w:r>
              <w:t xml:space="preserve">Often rapid onset (hours–1–2 days) with cellulitis; delay increases risk of deep infection, especially hand</w:t>
            </w:r>
          </w:p>
        </w:tc>
        <w:tc>
          <w:tcPr/>
          <w:p>
            <w:pPr>
              <w:pStyle w:val="Compact"/>
            </w:pPr>
            <w:r>
              <w:t xml:space="preserve">Tier 2 (Tier 1 if rapidly progressive or hand involvement)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Capnocytophaga</w:t>
            </w:r>
            <w:r>
              <w:t xml:space="preserve"> </w:t>
            </w:r>
            <w:r>
              <w:t xml:space="preserve">infection (dog/cat saliva)</w:t>
            </w:r>
          </w:p>
        </w:tc>
        <w:tc>
          <w:tcPr/>
          <w:p>
            <w:pPr>
              <w:pStyle w:val="Compact"/>
            </w:pPr>
            <w:r>
              <w:t xml:space="preserve">Bite or saliva contaminating an open wound/sore</w:t>
            </w:r>
          </w:p>
        </w:tc>
        <w:tc>
          <w:tcPr/>
          <w:p>
            <w:pPr>
              <w:pStyle w:val="Compact"/>
            </w:pPr>
            <w:r>
              <w:t xml:space="preserve">Yes (esp. high-risk hosts)</w:t>
            </w:r>
          </w:p>
        </w:tc>
        <w:tc>
          <w:tcPr/>
          <w:p>
            <w:pPr>
              <w:pStyle w:val="Compact"/>
            </w:pPr>
            <w:r>
              <w:t xml:space="preserve">Yes: antibiotics; urgent evaluation for systemic signs</w:t>
            </w:r>
          </w:p>
        </w:tc>
        <w:tc>
          <w:tcPr/>
          <w:p>
            <w:pPr>
              <w:pStyle w:val="Compact"/>
            </w:pPr>
            <w:r>
              <w:t xml:space="preserve">High in asplenia/heavy alcohol use/immunocompromise: can progress to organ failure/death within 24–72h</w:t>
            </w:r>
          </w:p>
        </w:tc>
        <w:tc>
          <w:tcPr/>
          <w:p>
            <w:pPr>
              <w:pStyle w:val="Compact"/>
            </w:pPr>
            <w:r>
              <w:t xml:space="preserve">Tier 1 for high-risk hosts or systemic symptoms; Tier 2 otherwise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Tetanus</w:t>
            </w:r>
          </w:p>
        </w:tc>
        <w:tc>
          <w:tcPr/>
          <w:p>
            <w:pPr>
              <w:pStyle w:val="Compact"/>
            </w:pPr>
            <w:r>
              <w:t xml:space="preserve">Contaminated wound (including punctures; wounds containing saliva such as animal bites); risk modulated by immunisation status</w:t>
            </w:r>
          </w:p>
        </w:tc>
        <w:tc>
          <w:tcPr/>
          <w:p>
            <w:pPr>
              <w:pStyle w:val="Compact"/>
            </w:pPr>
            <w:r>
              <w:t xml:space="preserve">Yes (prophylaxis should not be deferred in indicated cases)</w:t>
            </w:r>
          </w:p>
        </w:tc>
        <w:tc>
          <w:tcPr/>
          <w:p>
            <w:pPr>
              <w:pStyle w:val="Compact"/>
            </w:pPr>
            <w:r>
              <w:t xml:space="preserve">Yes: vaccine ± TIG per wound type and immunisation history</w:t>
            </w:r>
          </w:p>
        </w:tc>
        <w:tc>
          <w:tcPr/>
          <w:p>
            <w:pPr>
              <w:pStyle w:val="Compact"/>
            </w:pPr>
            <w:r>
              <w:t xml:space="preserve">High severity but preventable; TIG cannot neutralize toxin already bound to nerve endings</w:t>
            </w:r>
          </w:p>
        </w:tc>
        <w:tc>
          <w:tcPr/>
          <w:p>
            <w:pPr>
              <w:pStyle w:val="Compact"/>
            </w:pPr>
            <w:r>
              <w:t xml:space="preserve">Tier 2 (Tier 1 if TIG indicated and access barriers)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Cat-scratch disease (</w:t>
            </w:r>
            <w:r>
              <w:rPr>
                <w:i/>
                <w:iCs/>
              </w:rPr>
              <w:t xml:space="preserve">Bartonella henselae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Scratch (± bite); often kitten exposure; flea involvement in cat reservoir</w:t>
            </w:r>
          </w:p>
        </w:tc>
        <w:tc>
          <w:tcPr/>
          <w:p>
            <w:pPr>
              <w:pStyle w:val="Compact"/>
            </w:pPr>
            <w:r>
              <w:t xml:space="preserve">Usually no (subacute)</w:t>
            </w:r>
          </w:p>
        </w:tc>
        <w:tc>
          <w:tcPr/>
          <w:p>
            <w:pPr>
              <w:pStyle w:val="Compact"/>
            </w:pPr>
            <w:r>
              <w:t xml:space="preserve">Yes (selected cases): azithromycin; immunocompromised may need prolonged therapy</w:t>
            </w:r>
          </w:p>
        </w:tc>
        <w:tc>
          <w:tcPr/>
          <w:p>
            <w:pPr>
              <w:pStyle w:val="Compact"/>
            </w:pPr>
            <w:r>
              <w:t xml:space="preserve">Typically self-limited lymphadenopathy; severe/extranodal disease uncommon but higher stakes in immunocompromised</w:t>
            </w:r>
          </w:p>
        </w:tc>
        <w:tc>
          <w:tcPr/>
          <w:p>
            <w:pPr>
              <w:pStyle w:val="Compact"/>
            </w:pPr>
            <w:r>
              <w:t xml:space="preserve">Tier 3 typically; Tier 2 if systemic symptoms, immunocompromised, ocular/neuro signs, or prolonged course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Rat-bite fever (</w:t>
            </w:r>
            <w:r>
              <w:rPr>
                <w:i/>
                <w:iCs/>
              </w:rPr>
              <w:t xml:space="preserve">Streptobacillus moniliformis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Spirillum minus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Bite/scratch or broken skin exposure to rodent secretions; can occur without bite</w:t>
            </w:r>
          </w:p>
        </w:tc>
        <w:tc>
          <w:tcPr/>
          <w:p>
            <w:pPr>
              <w:pStyle w:val="Compact"/>
            </w:pPr>
            <w:r>
              <w:t xml:space="preserve">Yes (because systemic illness can develop quickly after incubation)</w:t>
            </w:r>
          </w:p>
        </w:tc>
        <w:tc>
          <w:tcPr/>
          <w:p>
            <w:pPr>
              <w:pStyle w:val="Compact"/>
            </w:pPr>
            <w:r>
              <w:t xml:space="preserve">Yes: antibiotics</w:t>
            </w:r>
          </w:p>
        </w:tc>
        <w:tc>
          <w:tcPr/>
          <w:p>
            <w:pPr>
              <w:pStyle w:val="Compact"/>
            </w:pPr>
            <w:r>
              <w:t xml:space="preserve">Potentially severe systemic illness; incubation often 3–10 days for S. moniliformis; delay once symptomatic increases complications</w:t>
            </w:r>
          </w:p>
        </w:tc>
        <w:tc>
          <w:tcPr/>
          <w:p>
            <w:pPr>
              <w:pStyle w:val="Compact"/>
            </w:pPr>
            <w:r>
              <w:t xml:space="preserve">Tier 2 if exposure without symptoms; Tier 1 if febrile/systemic symptoms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 virus (macacine herpesvirus 1) after macaque exposure</w:t>
            </w:r>
          </w:p>
        </w:tc>
        <w:tc>
          <w:tcPr/>
          <w:p>
            <w:pPr>
              <w:pStyle w:val="Compact"/>
            </w:pPr>
            <w:r>
              <w:t xml:space="preserve">Macaque bite/scratch; mucosal exposure; contaminated needles/materials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Yes: immediate prolonged wound cleansing; antiviral prophylaxis in higher-risk exposures</w:t>
            </w:r>
          </w:p>
        </w:tc>
        <w:tc>
          <w:tcPr/>
          <w:p>
            <w:pPr>
              <w:pStyle w:val="Compact"/>
            </w:pPr>
            <w:r>
              <w:t xml:space="preserve">High severity: zoonotic B virus can be devastating; earlier cleansing and correct triage are critical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Structural injury (tendon/nerve/joint/capsule penetration; foreign body)</w:t>
            </w:r>
          </w:p>
        </w:tc>
        <w:tc>
          <w:tcPr/>
          <w:p>
            <w:pPr>
              <w:pStyle w:val="Compact"/>
            </w:pPr>
            <w:r>
              <w:t xml:space="preserve">Bite force + anatomy; higher in hands/face, deep punctures/lacerations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Yes: timely imaging/exploration/repair</w:t>
            </w:r>
          </w:p>
        </w:tc>
        <w:tc>
          <w:tcPr/>
          <w:p>
            <w:pPr>
              <w:pStyle w:val="Compact"/>
            </w:pPr>
            <w:r>
              <w:t xml:space="preserve">Delay can cause loss of function, deep infection, need for reconstruction</w:t>
            </w:r>
          </w:p>
        </w:tc>
        <w:tc>
          <w:tcPr/>
          <w:p>
            <w:pPr>
              <w:pStyle w:val="Compact"/>
            </w:pPr>
            <w:r>
              <w:t xml:space="preserve">Tier 1 if suspected deep structure injury; otherwise Tier 2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[43]</w:t>
              </w:r>
            </w:hyperlink>
          </w:p>
        </w:tc>
      </w:tr>
    </w:tbl>
    <w:bookmarkEnd w:id="42"/>
    <w:bookmarkStart w:id="47" w:name="disposition-tier-framework"/>
    <w:p>
      <w:pPr>
        <w:pStyle w:val="Heading2"/>
      </w:pPr>
      <w:r>
        <w:t xml:space="preserve">Disposition tier framework</w:t>
      </w:r>
    </w:p>
    <w:p>
      <w:pPr>
        <w:pStyle w:val="FirstParagraph"/>
      </w:pPr>
      <w:r>
        <w:rPr>
          <w:b/>
          <w:bCs/>
        </w:rPr>
        <w:t xml:space="preserve">Output 3: Disposition Tier Framework</w:t>
      </w:r>
    </w:p>
    <w:bookmarkStart w:id="43" w:name="X7137a05fdf601d22d2703cfa9f8a250ba06ab3a"/>
    <w:p>
      <w:pPr>
        <w:pStyle w:val="Heading3"/>
      </w:pPr>
      <w:r>
        <w:t xml:space="preserve">Tier definitions (standardised for engine outputs)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Default timeframe</w:t>
            </w:r>
          </w:p>
        </w:tc>
        <w:tc>
          <w:tcPr/>
          <w:p>
            <w:pPr>
              <w:pStyle w:val="Compact"/>
            </w:pPr>
            <w:r>
              <w:t xml:space="preserve">Default action set (engine output)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1: Immediate/urgent care required</w:t>
            </w:r>
          </w:p>
        </w:tc>
        <w:tc>
          <w:tcPr/>
          <w:p>
            <w:pPr>
              <w:pStyle w:val="Compact"/>
            </w:pPr>
            <w:r>
              <w:t xml:space="preserve">High-severity and/or time-sensitive intervention needed; or high risk of rapid deterioration; or suspected deep structure injury</w:t>
            </w:r>
          </w:p>
        </w:tc>
        <w:tc>
          <w:tcPr/>
          <w:p>
            <w:pPr>
              <w:pStyle w:val="Compact"/>
            </w:pPr>
            <w:r>
              <w:t xml:space="preserve">Now / same day (hours)</w:t>
            </w:r>
          </w:p>
        </w:tc>
        <w:tc>
          <w:tcPr/>
          <w:p>
            <w:pPr>
              <w:pStyle w:val="Compact"/>
            </w:pPr>
            <w:r>
              <w:t xml:space="preserve">Immediate wound cleansing guidance + urgent referral to ED/urgent care/infectious diseases/public health; do not wait for symptoms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Tier 2: Medical assessment recommended (non-urgent)</w:t>
            </w:r>
          </w:p>
        </w:tc>
        <w:tc>
          <w:tcPr/>
          <w:p>
            <w:pPr>
              <w:pStyle w:val="Compact"/>
            </w:pPr>
            <w:r>
              <w:t xml:space="preserve">Meaningful risk of bacterial infection, tetanus prophylaxis need, or rabies risk assessment needed but not an “hours” emergency</w:t>
            </w:r>
          </w:p>
        </w:tc>
        <w:tc>
          <w:tcPr/>
          <w:p>
            <w:pPr>
              <w:pStyle w:val="Compact"/>
            </w:pPr>
            <w:r>
              <w:t xml:space="preserve">Same day–next day</w:t>
            </w:r>
          </w:p>
        </w:tc>
        <w:tc>
          <w:tcPr/>
          <w:p>
            <w:pPr>
              <w:pStyle w:val="Compact"/>
            </w:pPr>
            <w:r>
              <w:t xml:space="preserve">Clinician assessment for irrigation, antibiotics decision, tetanus status, rabies risk assessment/testing coordination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Tier 3: Self-care + watchful waiting</w:t>
            </w:r>
          </w:p>
        </w:tc>
        <w:tc>
          <w:tcPr/>
          <w:p>
            <w:pPr>
              <w:pStyle w:val="Compact"/>
            </w:pPr>
            <w:r>
              <w:t xml:space="preserve">Low clinical risk; no time-critical prophylaxis; provide clear symptom triggers and reassessment rules</w:t>
            </w:r>
          </w:p>
        </w:tc>
        <w:tc>
          <w:tcPr/>
          <w:p>
            <w:pPr>
              <w:pStyle w:val="Compact"/>
            </w:pPr>
            <w:r>
              <w:t xml:space="preserve">Home care with monitoring</w:t>
            </w:r>
          </w:p>
        </w:tc>
        <w:tc>
          <w:tcPr/>
          <w:p>
            <w:pPr>
              <w:pStyle w:val="Compact"/>
            </w:pPr>
            <w:r>
              <w:t xml:space="preserve">Wash/clean, observe, symptom check, seek care if red flags develop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Tier 4: No meaningful risk</w:t>
            </w:r>
          </w:p>
        </w:tc>
        <w:tc>
          <w:tcPr/>
          <w:p>
            <w:pPr>
              <w:pStyle w:val="Compact"/>
            </w:pPr>
            <w:r>
              <w:t xml:space="preserve">No plausible transmission route (per guidance)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Reassurance + brief “if uncertain, escalate” instruction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[47]</w:t>
              </w:r>
            </w:hyperlink>
          </w:p>
        </w:tc>
      </w:tr>
    </w:tbl>
    <w:bookmarkEnd w:id="43"/>
    <w:bookmarkStart w:id="46" w:name="Xb61e4d6786d37a01c372bf09e6d1fb6046d592f"/>
    <w:p>
      <w:pPr>
        <w:pStyle w:val="Heading3"/>
      </w:pPr>
      <w:r>
        <w:t xml:space="preserve">Scenario-to-tier mapping table (decision-ready)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Exposure Scenario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Key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 bite/scratch OR direct bat contact where bite/scratch or saliva-to-wound/mucosa cannot be ruled out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Treated as severe rabies exposure in WHO Category III; Canadian/Ontario guidance triggers PEP when direct contact + uncertainty exists</w:t>
            </w:r>
          </w:p>
        </w:tc>
        <w:tc>
          <w:tcPr/>
          <w:p>
            <w:pPr>
              <w:pStyle w:val="Compact"/>
            </w:pPr>
            <w:r>
              <w:t xml:space="preserve">Bat; direct contact; cannot rule out bite/saliva exposure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[48]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Bat in room with person who cannot reliably exclude contact (e.g., woke up and unsure; young child without reliable history)</w:t>
            </w:r>
          </w:p>
        </w:tc>
        <w:tc>
          <w:tcPr/>
          <w:p>
            <w:pPr>
              <w:pStyle w:val="Compact"/>
            </w:pPr>
            <w:r>
              <w:t xml:space="preserve">Tier 2 (or Tier 1 if direct contact suspected)</w:t>
            </w:r>
          </w:p>
        </w:tc>
        <w:tc>
          <w:tcPr/>
          <w:p>
            <w:pPr>
              <w:pStyle w:val="Compact"/>
            </w:pPr>
            <w:r>
              <w:t xml:space="preserve">Guideline thresholds differ by jurisdiction; safe engine output should route to public health/clinician risk assessment rather than “no care”</w:t>
            </w:r>
          </w:p>
        </w:tc>
        <w:tc>
          <w:tcPr/>
          <w:p>
            <w:pPr>
              <w:pStyle w:val="Compact"/>
            </w:pPr>
            <w:r>
              <w:t xml:space="preserve">Uncertain exposure; reliability of history; local guidance variability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Bite that breaks skin from wild terrestrial carnivore/mesocarnivore (raccoon/skunk/fox/coyote)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Higher rabies relevance in many jurisdictions; bite is highest-risk mechanism; urgent public health coordination</w:t>
            </w:r>
          </w:p>
        </w:tc>
        <w:tc>
          <w:tcPr/>
          <w:p>
            <w:pPr>
              <w:pStyle w:val="Compact"/>
            </w:pPr>
            <w:r>
              <w:t xml:space="preserve">Wild high-risk species; transdermal bite; animal often unavailable for observation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[50]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Bite that breaks skin from unknown mammal, animal not available for observation/testing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Rabies risk cannot be excluded; PEP decisions require rapid risk assessment; bites also have bacterial/tetanus risks</w:t>
            </w:r>
          </w:p>
        </w:tc>
        <w:tc>
          <w:tcPr/>
          <w:p>
            <w:pPr>
              <w:pStyle w:val="Compact"/>
            </w:pPr>
            <w:r>
              <w:t xml:space="preserve">Unknown animal; unavailable; transdermal bite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Bite that breaks skin from healthy dog/cat/ferret that is available for 10-day observation (per public health)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Rabies virus shedding window supports 10-day observation in dogs/cats/ferrets; bacterial/tetanus assessment still needed</w:t>
            </w:r>
          </w:p>
        </w:tc>
        <w:tc>
          <w:tcPr/>
          <w:p>
            <w:pPr>
              <w:pStyle w:val="Compact"/>
            </w:pPr>
            <w:r>
              <w:t xml:space="preserve">Observable dog/cat/ferret; 10-day observation pathway; wound care needed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Bite that breaks skin from dog/cat/ferret with abnormal behaviour OR clinical signs consistent with rabies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Sick/symptomatic animals require urgent public health action and may require testing; do not delay exposure management</w:t>
            </w:r>
          </w:p>
        </w:tc>
        <w:tc>
          <w:tcPr/>
          <w:p>
            <w:pPr>
              <w:pStyle w:val="Compact"/>
            </w:pPr>
            <w:r>
              <w:t xml:space="preserve">Abnormal behaviour/illness; potential rabies; urgent coordination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[53]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Cat bite (any transdermal puncture) to hand/fingers/wrist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Hand bites have higher complication risk; cat punctures can seed deep structures; IDSA flags hand injuries for preemptive antibiotics; early assessment reduces morbidity</w:t>
            </w:r>
          </w:p>
        </w:tc>
        <w:tc>
          <w:tcPr/>
          <w:p>
            <w:pPr>
              <w:pStyle w:val="Compact"/>
            </w:pPr>
            <w:r>
              <w:t xml:space="preserve">Cat; puncture; hand; possible tendon/joint involvement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Dog bite with deep laceration, crush injury, devitalised tissue, or suspected tendon/nerve/joint involvement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High risk of structural injury + deep infection; needs exploration/irrigation and sometimes imaging/repair</w:t>
            </w:r>
          </w:p>
        </w:tc>
        <w:tc>
          <w:tcPr/>
          <w:p>
            <w:pPr>
              <w:pStyle w:val="Compact"/>
            </w:pPr>
            <w:r>
              <w:t xml:space="preserve">Depth; crush; suspected deep structure injury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Any bite/scratch with saliva contact to eyes/nose/mouth (mucosa) from mammal in rabies-relevant setting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Rabies transmission can occur via mucosa; WHO Category III; time-sensitive risk assessment and PEP</w:t>
            </w:r>
          </w:p>
        </w:tc>
        <w:tc>
          <w:tcPr/>
          <w:p>
            <w:pPr>
              <w:pStyle w:val="Compact"/>
            </w:pPr>
            <w:r>
              <w:t xml:space="preserve">Mucosal exposure; rabies relevance depends on geography/animal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Saliva lick to intact skin only (no cuts/scrapes; no mucosa)</w:t>
            </w:r>
          </w:p>
        </w:tc>
        <w:tc>
          <w:tcPr/>
          <w:p>
            <w:pPr>
              <w:pStyle w:val="Compact"/>
            </w:pPr>
            <w:r>
              <w:t xml:space="preserve">Tier 4</w:t>
            </w:r>
          </w:p>
        </w:tc>
        <w:tc>
          <w:tcPr/>
          <w:p>
            <w:pPr>
              <w:pStyle w:val="Compact"/>
            </w:pPr>
            <w:r>
              <w:t xml:space="preserve">WHO Category I: no rabies prophylaxis; rabies not transmitted without portal of entry; bacterial/tetanus risk negligible</w:t>
            </w:r>
          </w:p>
        </w:tc>
        <w:tc>
          <w:tcPr/>
          <w:p>
            <w:pPr>
              <w:pStyle w:val="Compact"/>
            </w:pPr>
            <w:r>
              <w:t xml:space="preserve">Intact skin; no mucosa; no break in skin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Saliva into an existing open wound/sore from dog/cat (no bite) in immunocompromised/asplenic/heavy alcohol use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CDC identifies saliva-into-open-wound as a route for Capnocytophaga; high-risk hosts can deteriorate within 24–72h</w:t>
            </w:r>
          </w:p>
        </w:tc>
        <w:tc>
          <w:tcPr/>
          <w:p>
            <w:pPr>
              <w:pStyle w:val="Compact"/>
            </w:pPr>
            <w:r>
              <w:t xml:space="preserve">Host risk (asplenia, immunocompromise, heavy alcohol); saliva-to-open-wound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Superficial scratch that does not break skin (no bleeding; no abrasion)</w:t>
            </w:r>
          </w:p>
        </w:tc>
        <w:tc>
          <w:tcPr/>
          <w:p>
            <w:pPr>
              <w:pStyle w:val="Compact"/>
            </w:pPr>
            <w:r>
              <w:t xml:space="preserve">Tier 4</w:t>
            </w:r>
          </w:p>
        </w:tc>
        <w:tc>
          <w:tcPr/>
          <w:p>
            <w:pPr>
              <w:pStyle w:val="Compact"/>
            </w:pPr>
            <w:r>
              <w:t xml:space="preserve">No portal of entry → rabies and bacterial infection not expected</w:t>
            </w:r>
          </w:p>
        </w:tc>
        <w:tc>
          <w:tcPr/>
          <w:p>
            <w:pPr>
              <w:pStyle w:val="Compact"/>
            </w:pPr>
            <w:r>
              <w:t xml:space="preserve">Skin not broken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Superficial scratch with minor abrasion (skin broken) from domestic cat; patient immunocompetent; location not hand/face; promptly washed</w:t>
            </w:r>
          </w:p>
        </w:tc>
        <w:tc>
          <w:tcPr/>
          <w:p>
            <w:pPr>
              <w:pStyle w:val="Compact"/>
            </w:pPr>
            <w: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Low immediate bacterial risk; cat-scratch disease is possible but typically subacute and usually self-limited; provide watchful waiting and red flags</w:t>
            </w:r>
          </w:p>
        </w:tc>
        <w:tc>
          <w:tcPr/>
          <w:p>
            <w:pPr>
              <w:pStyle w:val="Compact"/>
            </w:pPr>
            <w:r>
              <w:t xml:space="preserve">Minor abrasion; cat exposure; immune status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Cat scratch/bite followed by fever, significant lymph node swelling, or ocular/neuro symptoms</w:t>
            </w:r>
          </w:p>
        </w:tc>
        <w:tc>
          <w:tcPr/>
          <w:p>
            <w:pPr>
              <w:pStyle w:val="Compact"/>
            </w:pPr>
            <w:r>
              <w:t xml:space="preserve">Tier 2 (Tier 1 if severe systemic/neurologic)</w:t>
            </w:r>
          </w:p>
        </w:tc>
        <w:tc>
          <w:tcPr/>
          <w:p>
            <w:pPr>
              <w:pStyle w:val="Compact"/>
            </w:pPr>
            <w:r>
              <w:t xml:space="preserve">Cat-scratch disease can have extranodal disease (uncommon) and immunocompromised presentations can be severe; needs assessment</w:t>
            </w:r>
          </w:p>
        </w:tc>
        <w:tc>
          <w:tcPr/>
          <w:p>
            <w:pPr>
              <w:pStyle w:val="Compact"/>
            </w:pPr>
            <w:r>
              <w:t xml:space="preserve">Symptoms; systemic/ocular/neuro signs; immune status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Rat bite or scratch (skin broken), no symptoms yet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Rat-bite fever can follow bites/scratches; incubation commonly 3–10 days; early assessment appropriate if exposure confirmed</w:t>
            </w:r>
          </w:p>
        </w:tc>
        <w:tc>
          <w:tcPr/>
          <w:p>
            <w:pPr>
              <w:pStyle w:val="Compact"/>
            </w:pPr>
            <w:r>
              <w:t xml:space="preserve">Rat exposure; broken skin; incubation window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Rat exposure + fever/rash/arthralgia within 3–10 days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Systemic illness consistent with RBF; needs prompt evaluation/antibiotics</w:t>
            </w:r>
          </w:p>
        </w:tc>
        <w:tc>
          <w:tcPr/>
          <w:p>
            <w:pPr>
              <w:pStyle w:val="Compact"/>
            </w:pPr>
            <w:r>
              <w:t xml:space="preserve">Symptoms in incubation window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Macaque bite/scratch OR mucosal exposure (travel, zoo, lab)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CDC recommends immediate prolonged cleansing and criteria-based antiviral consideration; severity warrants urgent care</w:t>
            </w:r>
          </w:p>
        </w:tc>
        <w:tc>
          <w:tcPr/>
          <w:p>
            <w:pPr>
              <w:pStyle w:val="Compact"/>
            </w:pPr>
            <w:r>
              <w:t xml:space="preserve">Macaque exposure; bite/scratch/mucosa; time since cleansing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Any animal bite that is a “dirty/major wound” + incomplete/unknown tetanus immunisation</w:t>
            </w:r>
          </w:p>
        </w:tc>
        <w:tc>
          <w:tcPr/>
          <w:p>
            <w:pPr>
              <w:pStyle w:val="Compact"/>
            </w:pPr>
            <w:r>
              <w:t xml:space="preserve">Tier 2 (Tier 1 if TIG indicated and cannot access quickly)</w:t>
            </w:r>
          </w:p>
        </w:tc>
        <w:tc>
          <w:tcPr/>
          <w:p>
            <w:pPr>
              <w:pStyle w:val="Compact"/>
            </w:pPr>
            <w:r>
              <w:t xml:space="preserve">Animal bites count as dirty/major wounds for tetanus risk; vaccine ± TIG depends on history; prophylaxis should be prompt</w:t>
            </w:r>
          </w:p>
        </w:tc>
        <w:tc>
          <w:tcPr/>
          <w:p>
            <w:pPr>
              <w:pStyle w:val="Compact"/>
            </w:pPr>
            <w:r>
              <w:t xml:space="preserve">Dirty wound; immunisation status; TIG criteria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Small rodent bite (e.g., squirrel/rat/mouse) with normal animal behaviour; rabies concern only</w:t>
            </w:r>
          </w:p>
        </w:tc>
        <w:tc>
          <w:tcPr/>
          <w:p>
            <w:pPr>
              <w:pStyle w:val="Compact"/>
            </w:pPr>
            <w:r>
              <w:t xml:space="preserve">Tier 3 (for rabies) + Tier 2 (for wound/tetanus depending on break)</w:t>
            </w:r>
          </w:p>
        </w:tc>
        <w:tc>
          <w:tcPr/>
          <w:p>
            <w:pPr>
              <w:pStyle w:val="Compact"/>
            </w:pPr>
            <w:r>
              <w:t xml:space="preserve">Rabies PEP rarely indicated in North America unless behaviour highly unusual; wound care still depends on severity and tetanus status</w:t>
            </w:r>
          </w:p>
        </w:tc>
        <w:tc>
          <w:tcPr/>
          <w:p>
            <w:pPr>
              <w:pStyle w:val="Compact"/>
            </w:pPr>
            <w:r>
              <w:t xml:space="preserve">Small rodent; behaviour; wound severity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[59]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Genital/perineal bite (any mammal)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Specialty sources describe need for irrigation/debridement/antibiotics and careful management; functional/cosmetic stakes are high</w:t>
            </w:r>
          </w:p>
        </w:tc>
        <w:tc>
          <w:tcPr/>
          <w:p>
            <w:pPr>
              <w:pStyle w:val="Compact"/>
            </w:pPr>
            <w:r>
              <w:t xml:space="preserve">Location (perineum/genitals); need for repair; contamination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[60]</w:t>
              </w:r>
            </w:hyperlink>
          </w:p>
        </w:tc>
      </w:tr>
    </w:tbl>
    <w:bookmarkEnd w:id="46"/>
    <w:bookmarkEnd w:id="47"/>
    <w:bookmarkStart w:id="49" w:name="decision-node-candidates"/>
    <w:p>
      <w:pPr>
        <w:pStyle w:val="Heading2"/>
      </w:pPr>
      <w:r>
        <w:t xml:space="preserve">Decision node candidates</w:t>
      </w:r>
    </w:p>
    <w:p>
      <w:pPr>
        <w:pStyle w:val="FirstParagraph"/>
      </w:pPr>
      <w:r>
        <w:rPr>
          <w:b/>
          <w:bCs/>
        </w:rPr>
        <w:t xml:space="preserve">Output 4: Decision Node Candidates</w:t>
      </w:r>
      <w:r>
        <w:br/>
      </w:r>
      <w:r>
        <w:t xml:space="preserve">(Designed for binary/categorical branching; each node includes an algorithm-friendly definition and parallel public wording.)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Definition (algorithm-ready)</w:t>
            </w:r>
          </w:p>
        </w:tc>
        <w:tc>
          <w:tcPr/>
          <w:p>
            <w:pPr>
              <w:pStyle w:val="Compact"/>
            </w:pPr>
            <w:r>
              <w:t xml:space="preserve">Evidence Basis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Public-friendly wording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 broken</w:t>
            </w:r>
          </w:p>
        </w:tc>
        <w:tc>
          <w:tcPr/>
          <w:p>
            <w:pPr>
              <w:pStyle w:val="Compact"/>
            </w:pPr>
            <w:r>
              <w:t xml:space="preserve">Categorical: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minor abrasion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bleeding or puncture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Rabies requires broken skin or mucosa; tetanus risk follows wound categorisation; bacterial infection requires inoculation through skin break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“Did the bite/scratch break the skin (even a little)?”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site includes mucosa</w:t>
            </w:r>
          </w:p>
        </w:tc>
        <w:tc>
          <w:tcPr/>
          <w:p>
            <w:pPr>
              <w:pStyle w:val="Compact"/>
            </w:pPr>
            <w:r>
              <w:t xml:space="preserve">Binary: direct saliva/brain tissue contact with</w:t>
            </w:r>
            <w:r>
              <w:t xml:space="preserve"> </w:t>
            </w:r>
            <w:r>
              <w:rPr>
                <w:rStyle w:val="VerbatimChar"/>
              </w:rPr>
              <w:t xml:space="preserve">eyes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nose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mouth</w:t>
            </w:r>
          </w:p>
        </w:tc>
        <w:tc>
          <w:tcPr/>
          <w:p>
            <w:pPr>
              <w:pStyle w:val="Compact"/>
            </w:pPr>
            <w:r>
              <w:t xml:space="preserve">Rabies transmission can occur via mucous membranes; WHO Category III includes mucosal contamination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“Did saliva get into your eyes, nose, or mouth?”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Saliva contact with non-intact skin</w:t>
            </w:r>
          </w:p>
        </w:tc>
        <w:tc>
          <w:tcPr/>
          <w:p>
            <w:pPr>
              <w:pStyle w:val="Compact"/>
            </w:pPr>
            <w:r>
              <w:t xml:space="preserve">Binary: saliva contacted</w:t>
            </w:r>
            <w:r>
              <w:t xml:space="preserve"> </w:t>
            </w:r>
            <w:r>
              <w:rPr>
                <w:rStyle w:val="VerbatimChar"/>
              </w:rPr>
              <w:t xml:space="preserve">open cut/sore/scrape/rash</w:t>
            </w:r>
          </w:p>
        </w:tc>
        <w:tc>
          <w:tcPr/>
          <w:p>
            <w:pPr>
              <w:pStyle w:val="Compact"/>
            </w:pPr>
            <w:r>
              <w:t xml:space="preserve">WHO Category III includes licks on broken skin; Canada and CDC describe transmission via licks to open wounds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“Did saliva touch a cut, scrape, or open skin?”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Animal is a bat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WHO treats bat exposure as Category III; jurisdictional rules often treat bat contact as high-severity risk assessment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[63]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“Was it a bat?”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 direct contact</w:t>
            </w:r>
          </w:p>
        </w:tc>
        <w:tc>
          <w:tcPr/>
          <w:p>
            <w:pPr>
              <w:pStyle w:val="Compact"/>
            </w:pPr>
            <w:r>
              <w:t xml:space="preserve">Binary: bat</w:t>
            </w:r>
            <w:r>
              <w:t xml:space="preserve"> </w:t>
            </w:r>
            <w:r>
              <w:rPr>
                <w:rStyle w:val="VerbatimChar"/>
              </w:rPr>
              <w:t xml:space="preserve">touched/landed on skin or clothing</w:t>
            </w:r>
            <w:r>
              <w:t xml:space="preserve"> </w:t>
            </w:r>
            <w:r>
              <w:t xml:space="preserve">vs “no contact (just seen flying)”</w:t>
            </w:r>
          </w:p>
        </w:tc>
        <w:tc>
          <w:tcPr/>
          <w:p>
            <w:pPr>
              <w:pStyle w:val="Compact"/>
            </w:pPr>
            <w:r>
              <w:t xml:space="preserve">Canadian/Ontario criteria require direct contact + inability to rule out bite/saliva exposure; when no direct contact, risk extremely rare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 (Canada-compatible)</w:t>
            </w:r>
          </w:p>
        </w:tc>
        <w:tc>
          <w:tcPr/>
          <w:p>
            <w:pPr>
              <w:pStyle w:val="Compact"/>
            </w:pPr>
            <w:r>
              <w:t xml:space="preserve">“Did the bat touch you or land on you?”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Reliable exclusion of bat bite</w:t>
            </w:r>
          </w:p>
        </w:tc>
        <w:tc>
          <w:tcPr/>
          <w:p>
            <w:pPr>
              <w:pStyle w:val="Compact"/>
            </w:pPr>
            <w:r>
              <w:t xml:space="preserve">Binary: patient can “reliably exclude bite/scratch/saliva-to-wound/mucosa”</w:t>
            </w:r>
          </w:p>
        </w:tc>
        <w:tc>
          <w:tcPr/>
          <w:p>
            <w:pPr>
              <w:pStyle w:val="Compact"/>
            </w:pPr>
            <w:r>
              <w:t xml:space="preserve">Ontario/Canadian guidance uses reliability of history (especially for children)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“Can you be sure the bat did not bite or scratch you?”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Animal category</w:t>
            </w:r>
          </w:p>
        </w:tc>
        <w:tc>
          <w:tcPr/>
          <w:p>
            <w:pPr>
              <w:pStyle w:val="Compact"/>
            </w:pPr>
            <w:r>
              <w:t xml:space="preserve">Categorical:</w:t>
            </w:r>
            <w:r>
              <w:t xml:space="preserve"> </w:t>
            </w:r>
            <w:r>
              <w:rPr>
                <w:rStyle w:val="VerbatimChar"/>
              </w:rPr>
              <w:t xml:space="preserve">dog/cat/ferret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wild carnivore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rodent/lagomorph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non-human primate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 mammal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 mammal</w:t>
            </w:r>
          </w:p>
        </w:tc>
        <w:tc>
          <w:tcPr/>
          <w:p>
            <w:pPr>
              <w:pStyle w:val="Compact"/>
            </w:pPr>
            <w:r>
              <w:t xml:space="preserve">Rabies relevance, observation pathways, and zoonoses vary strongly by species category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[66]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“What animal was it?”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Animal available for observation/testing</w:t>
            </w:r>
          </w:p>
        </w:tc>
        <w:tc>
          <w:tcPr/>
          <w:p>
            <w:pPr>
              <w:pStyle w:val="Compact"/>
            </w:pPr>
            <w:r>
              <w:t xml:space="preserve">Categorical:</w:t>
            </w:r>
            <w:r>
              <w:t xml:space="preserve"> </w:t>
            </w:r>
            <w:r>
              <w:rPr>
                <w:rStyle w:val="VerbatimChar"/>
              </w:rPr>
              <w:t xml:space="preserve">10-day observation possible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available for lab testing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 available</w:t>
            </w:r>
          </w:p>
        </w:tc>
        <w:tc>
          <w:tcPr/>
          <w:p>
            <w:pPr>
              <w:pStyle w:val="Compact"/>
            </w:pPr>
            <w:r>
              <w:t xml:space="preserve">10-day observation is used for dogs/cats/ferrets; testing informs risk assessment; animal availability changes disposition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[67]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“Can the animal be found and observed or tested?”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Animal behaviour abnormal / ill</w:t>
            </w:r>
          </w:p>
        </w:tc>
        <w:tc>
          <w:tcPr/>
          <w:p>
            <w:pPr>
              <w:pStyle w:val="Compact"/>
            </w:pPr>
            <w:r>
              <w:t xml:space="preserve">Binary: unprovoked aggression, neurological signs, “acting sick,” unusually tame wild animal</w:t>
            </w:r>
          </w:p>
        </w:tc>
        <w:tc>
          <w:tcPr/>
          <w:p>
            <w:pPr>
              <w:pStyle w:val="Compact"/>
            </w:pPr>
            <w:r>
              <w:t xml:space="preserve">Rabies and other risks increase when behaviour is abnormal; guidance uses behaviour in risk assessment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Should-have</w:t>
            </w:r>
          </w:p>
        </w:tc>
        <w:tc>
          <w:tcPr/>
          <w:p>
            <w:pPr>
              <w:pStyle w:val="Compact"/>
            </w:pPr>
            <w:r>
              <w:t xml:space="preserve">“Was the animal acting strangely or sick?”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Geography of exposure</w:t>
            </w:r>
          </w:p>
        </w:tc>
        <w:tc>
          <w:tcPr/>
          <w:p>
            <w:pPr>
              <w:pStyle w:val="Compact"/>
            </w:pPr>
            <w:r>
              <w:t xml:space="preserve">Categorical:</w:t>
            </w:r>
            <w:r>
              <w:t xml:space="preserve"> </w:t>
            </w:r>
            <w:r>
              <w:rPr>
                <w:rStyle w:val="VerbatimChar"/>
              </w:rPr>
              <w:t xml:space="preserve">within Canada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outside Canada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+ optional subnode for</w:t>
            </w:r>
            <w:r>
              <w:t xml:space="preserve"> </w:t>
            </w:r>
            <w:r>
              <w:rPr>
                <w:rStyle w:val="VerbatimChar"/>
              </w:rPr>
              <w:t xml:space="preserve">rabies endemic/high-risk region</w:t>
            </w:r>
          </w:p>
        </w:tc>
        <w:tc>
          <w:tcPr/>
          <w:p>
            <w:pPr>
              <w:pStyle w:val="Compact"/>
            </w:pPr>
            <w:r>
              <w:t xml:space="preserve">Rabies risk differs widely by region; WHO notes dogs drive most human rabies deaths globally; PHAC notes North American dog/cat exposures differ from other regions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[68]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“Where did this happen (country/region)?”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since exposure</w:t>
            </w:r>
          </w:p>
        </w:tc>
        <w:tc>
          <w:tcPr/>
          <w:p>
            <w:pPr>
              <w:pStyle w:val="Compact"/>
            </w:pPr>
            <w:r>
              <w:t xml:space="preserve">Continuous or buckets:</w:t>
            </w:r>
            <w:r>
              <w:t xml:space="preserve"> </w:t>
            </w:r>
            <w:r>
              <w:rPr>
                <w:rStyle w:val="VerbatimChar"/>
              </w:rPr>
              <w:t xml:space="preserve">&lt;8h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8–24h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&gt;24h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Early wound care reduces bacterial infection; rapid bacterial cellulitis (e.g.,</w:t>
            </w:r>
            <w:r>
              <w:t xml:space="preserve"> </w:t>
            </w:r>
            <w:r>
              <w:rPr>
                <w:i/>
                <w:iCs/>
              </w:rPr>
              <w:t xml:space="preserve">Pasteurella</w:t>
            </w:r>
            <w:r>
              <w:t xml:space="preserve">) often develops within hours–1–2 days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Should-have</w:t>
            </w:r>
          </w:p>
        </w:tc>
        <w:tc>
          <w:tcPr/>
          <w:p>
            <w:pPr>
              <w:pStyle w:val="Compact"/>
            </w:pPr>
            <w:r>
              <w:t xml:space="preserve">“How long ago did it happen?”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Wound location</w:t>
            </w:r>
          </w:p>
        </w:tc>
        <w:tc>
          <w:tcPr/>
          <w:p>
            <w:pPr>
              <w:pStyle w:val="Compact"/>
            </w:pPr>
            <w:r>
              <w:t xml:space="preserve">Categorical:</w:t>
            </w:r>
            <w:r>
              <w:t xml:space="preserve"> </w:t>
            </w:r>
            <w:r>
              <w:rPr>
                <w:rStyle w:val="VerbatimChar"/>
              </w:rPr>
              <w:t xml:space="preserve">hand/finger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face/head/neck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near joint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genitals/perineum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Hand/face and suspected joint/bone involvement drive antibiotic prophylaxis and urgency; genital/perineal bites often need careful management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“Where on the body is the wound?”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Wound type</w:t>
            </w:r>
          </w:p>
        </w:tc>
        <w:tc>
          <w:tcPr/>
          <w:p>
            <w:pPr>
              <w:pStyle w:val="Compact"/>
            </w:pPr>
            <w:r>
              <w:t xml:space="preserve">Categorical:</w:t>
            </w:r>
            <w:r>
              <w:t xml:space="preserve"> </w:t>
            </w:r>
            <w:r>
              <w:rPr>
                <w:rStyle w:val="VerbatimChar"/>
              </w:rPr>
              <w:t xml:space="preserve">puncture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laceration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scratch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Puncture and moderate–severe injuries increase infection risk and influence closure/antibiotics decisions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Should-have</w:t>
            </w:r>
          </w:p>
        </w:tc>
        <w:tc>
          <w:tcPr/>
          <w:p>
            <w:pPr>
              <w:pStyle w:val="Compact"/>
            </w:pPr>
            <w:r>
              <w:t xml:space="preserve">“Was it a puncture, tear/laceration, or crush injury?”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Suspected deep structure involvement</w:t>
            </w:r>
          </w:p>
        </w:tc>
        <w:tc>
          <w:tcPr/>
          <w:p>
            <w:pPr>
              <w:pStyle w:val="Compact"/>
            </w:pPr>
            <w:r>
              <w:t xml:space="preserve">Binary: tendon/nerve deficits, joint penetration, bone exposure, foreign body</w:t>
            </w:r>
          </w:p>
        </w:tc>
        <w:tc>
          <w:tcPr/>
          <w:p>
            <w:pPr>
              <w:pStyle w:val="Compact"/>
            </w:pPr>
            <w:r>
              <w:t xml:space="preserve">IDSA includes suspected periosteum/joint capsule penetration; CDC notes bites can cause serious injury such as tendon laceration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“Is movement, feeling, or function affected—or is it very deep?”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Immunocompromised</w:t>
            </w:r>
          </w:p>
        </w:tc>
        <w:tc>
          <w:tcPr/>
          <w:p>
            <w:pPr>
              <w:pStyle w:val="Compact"/>
            </w:pPr>
            <w:r>
              <w:t xml:space="preserve">Binary + optional subtype:</w:t>
            </w:r>
            <w:r>
              <w:t xml:space="preserve"> </w:t>
            </w:r>
            <w:r>
              <w:rPr>
                <w:rStyle w:val="VerbatimChar"/>
              </w:rPr>
              <w:t xml:space="preserve">cancer/chemo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transplant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HIV with severe immunodeficiency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Host modifiers shift antibiotic/tetanus/rabies management; CDC and IDSA highlight increased risk and special regimens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“Do you have a condition or medicine that weakens your immune system?”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Asplenia / hyposplenia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Major modifier for</w:t>
            </w:r>
            <w:r>
              <w:t xml:space="preserve"> </w:t>
            </w:r>
            <w:r>
              <w:rPr>
                <w:i/>
                <w:iCs/>
              </w:rPr>
              <w:t xml:space="preserve">Capnocytophaga</w:t>
            </w:r>
            <w:r>
              <w:t xml:space="preserve"> </w:t>
            </w:r>
            <w:r>
              <w:t xml:space="preserve">severity; IDSA includes asplenia for preemptive antibiotics; CDC quantifies increased death risk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 (clinician mode) / Should-have (public mode)</w:t>
            </w:r>
          </w:p>
        </w:tc>
        <w:tc>
          <w:tcPr/>
          <w:p>
            <w:pPr>
              <w:pStyle w:val="Compact"/>
            </w:pPr>
            <w:r>
              <w:t xml:space="preserve">“Have you had your spleen removed or been told it doesn’t work well?”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alcohol use / advanced liver disease</w:t>
            </w:r>
          </w:p>
        </w:tc>
        <w:tc>
          <w:tcPr/>
          <w:p>
            <w:pPr>
              <w:pStyle w:val="Compact"/>
            </w:pPr>
            <w:r>
              <w:t xml:space="preserve">Binary (separate subnodes recommended)</w:t>
            </w:r>
          </w:p>
        </w:tc>
        <w:tc>
          <w:tcPr/>
          <w:p>
            <w:pPr>
              <w:pStyle w:val="Compact"/>
            </w:pPr>
            <w:r>
              <w:t xml:space="preserve">Risk modifier for</w:t>
            </w:r>
            <w:r>
              <w:t xml:space="preserve"> </w:t>
            </w:r>
            <w:r>
              <w:rPr>
                <w:i/>
                <w:iCs/>
              </w:rPr>
              <w:t xml:space="preserve">Capnocytophaga</w:t>
            </w:r>
            <w:r>
              <w:t xml:space="preserve"> </w:t>
            </w:r>
            <w:r>
              <w:t xml:space="preserve">and for antibiotic prophylaxis criteria in IDSA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Should-have</w:t>
            </w:r>
          </w:p>
        </w:tc>
        <w:tc>
          <w:tcPr/>
          <w:p>
            <w:pPr>
              <w:pStyle w:val="Compact"/>
            </w:pPr>
            <w:r>
              <w:t xml:space="preserve">“Do you have liver disease or heavy alcohol use?”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Tetanus immunisation status</w:t>
            </w:r>
          </w:p>
        </w:tc>
        <w:tc>
          <w:tcPr/>
          <w:p>
            <w:pPr>
              <w:pStyle w:val="Compact"/>
            </w:pPr>
            <w:r>
              <w:t xml:space="preserve">Categorical:</w:t>
            </w:r>
            <w:r>
              <w:t xml:space="preserve"> </w:t>
            </w:r>
            <w:r>
              <w:rPr>
                <w:rStyle w:val="VerbatimChar"/>
              </w:rPr>
              <w:t xml:space="preserve">complete series + last dose &lt;5y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 series + last dose 5–10y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unknown/incomplete</w:t>
            </w:r>
          </w:p>
        </w:tc>
        <w:tc>
          <w:tcPr/>
          <w:p>
            <w:pPr>
              <w:pStyle w:val="Compact"/>
            </w:pPr>
            <w:r>
              <w:t xml:space="preserve">CDC gives explicit thresholds (dirty wound: booster if ≥5y; TIG criteria); Canadian guidance aligns in principle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“Are your tetanus shots up to date?”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Symptoms now</w:t>
            </w:r>
          </w:p>
        </w:tc>
        <w:tc>
          <w:tcPr/>
          <w:p>
            <w:pPr>
              <w:pStyle w:val="Compact"/>
            </w:pPr>
            <w:r>
              <w:t xml:space="preserve">Categorical: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local infection signs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systemic signs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neuro signs</w:t>
            </w:r>
          </w:p>
        </w:tc>
        <w:tc>
          <w:tcPr/>
          <w:p>
            <w:pPr>
              <w:pStyle w:val="Compact"/>
            </w:pPr>
            <w:r>
              <w:t xml:space="preserve">Symptom triggers should override exposure-only logic (e.g., sepsis risk, deep infection)</w:t>
            </w:r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“Do you have spreading redness, pus, fever, confusion, or severe pain?”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[75]</w:t>
              </w:r>
            </w:hyperlink>
          </w:p>
        </w:tc>
      </w:tr>
    </w:tbl>
    <w:bookmarkEnd w:id="49"/>
    <w:bookmarkStart w:id="51" w:name="safe-simplifications-and-public-wording"/>
    <w:p>
      <w:pPr>
        <w:pStyle w:val="Heading2"/>
      </w:pPr>
      <w:r>
        <w:t xml:space="preserve">Safe simplifications and public wording</w:t>
      </w:r>
    </w:p>
    <w:p>
      <w:pPr>
        <w:pStyle w:val="FirstParagraph"/>
      </w:pPr>
      <w:r>
        <w:rPr>
          <w:b/>
          <w:bCs/>
        </w:rPr>
        <w:t xml:space="preserve">Output 5: Safe Simplifications for Public 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Clinical Concept</w:t>
            </w:r>
          </w:p>
        </w:tc>
        <w:tc>
          <w:tcPr/>
          <w:p>
            <w:pPr>
              <w:pStyle w:val="Compact"/>
            </w:pPr>
            <w:r>
              <w:t xml:space="preserve">Public-Friendly Version</w:t>
            </w:r>
          </w:p>
        </w:tc>
        <w:tc>
          <w:tcPr/>
          <w:p>
            <w:pPr>
              <w:pStyle w:val="Compact"/>
            </w:pPr>
            <w:r>
              <w:t xml:space="preserve">Risk of Misclassification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“Non-intact skin”</w:t>
            </w:r>
          </w:p>
        </w:tc>
        <w:tc>
          <w:tcPr/>
          <w:p>
            <w:pPr>
              <w:pStyle w:val="Compact"/>
            </w:pPr>
            <w:r>
              <w:t xml:space="preserve">“A cut, scrape, rash, sore, or open skin”</w:t>
            </w:r>
          </w:p>
        </w:tc>
        <w:tc>
          <w:tcPr/>
          <w:p>
            <w:pPr>
              <w:pStyle w:val="Compact"/>
            </w:pPr>
            <w:r>
              <w:t xml:space="preserve">People may miss tiny abrasions</w:t>
            </w:r>
          </w:p>
        </w:tc>
        <w:tc>
          <w:tcPr/>
          <w:p>
            <w:pPr>
              <w:pStyle w:val="Compact"/>
            </w:pPr>
            <w:r>
              <w:t xml:space="preserve">Add examples + pictures; include “even a small scrape counts”; offer “unknown” option that escalates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[76]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“Mucous membranes”</w:t>
            </w:r>
          </w:p>
        </w:tc>
        <w:tc>
          <w:tcPr/>
          <w:p>
            <w:pPr>
              <w:pStyle w:val="Compact"/>
            </w:pPr>
            <w:r>
              <w:t xml:space="preserve">“Eyes, nose, or mouth”</w:t>
            </w:r>
          </w:p>
        </w:tc>
        <w:tc>
          <w:tcPr/>
          <w:p>
            <w:pPr>
              <w:pStyle w:val="Compact"/>
            </w:pPr>
            <w:r>
              <w:t xml:space="preserve">Users may include intact skin or exclude nose</w:t>
            </w:r>
          </w:p>
        </w:tc>
        <w:tc>
          <w:tcPr/>
          <w:p>
            <w:pPr>
              <w:pStyle w:val="Compact"/>
            </w:pPr>
            <w:r>
              <w:t xml:space="preserve">Use explicit checkboxes (eyes/nose/mouth) and examples (lick to lips, spit splash)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[77]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“Transdermal bite”</w:t>
            </w:r>
          </w:p>
        </w:tc>
        <w:tc>
          <w:tcPr/>
          <w:p>
            <w:pPr>
              <w:pStyle w:val="Compact"/>
            </w:pPr>
            <w:r>
              <w:t xml:space="preserve">“Teeth broke the skin or made puncture holes”</w:t>
            </w:r>
          </w:p>
        </w:tc>
        <w:tc>
          <w:tcPr/>
          <w:p>
            <w:pPr>
              <w:pStyle w:val="Compact"/>
            </w:pPr>
            <w:r>
              <w:t xml:space="preserve">Punctures can be tiny</w:t>
            </w:r>
          </w:p>
        </w:tc>
        <w:tc>
          <w:tcPr/>
          <w:p>
            <w:pPr>
              <w:pStyle w:val="Compact"/>
            </w:pPr>
            <w:r>
              <w:t xml:space="preserve">Provide “puncture marks may be small—if unsure, choose ‘not sure’”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[78]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“Direct contact with a bat”</w:t>
            </w:r>
          </w:p>
        </w:tc>
        <w:tc>
          <w:tcPr/>
          <w:p>
            <w:pPr>
              <w:pStyle w:val="Compact"/>
            </w:pPr>
            <w:r>
              <w:t xml:space="preserve">“The bat touched you or landed on you (even briefly)”</w:t>
            </w:r>
          </w:p>
        </w:tc>
        <w:tc>
          <w:tcPr/>
          <w:p>
            <w:pPr>
              <w:pStyle w:val="Compact"/>
            </w:pPr>
            <w:r>
              <w:t xml:space="preserve">Users may overcall “bat nearby” as contact</w:t>
            </w:r>
          </w:p>
        </w:tc>
        <w:tc>
          <w:tcPr/>
          <w:p>
            <w:pPr>
              <w:pStyle w:val="Compact"/>
            </w:pPr>
            <w:r>
              <w:t xml:space="preserve">Separate node: “bat flew in room but did not touch me” vs “touched/landed”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[79]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“Reliable history”</w:t>
            </w:r>
          </w:p>
        </w:tc>
        <w:tc>
          <w:tcPr/>
          <w:p>
            <w:pPr>
              <w:pStyle w:val="Compact"/>
            </w:pPr>
            <w:r>
              <w:t xml:space="preserve">“Can you be sure what happened?”</w:t>
            </w:r>
          </w:p>
        </w:tc>
        <w:tc>
          <w:tcPr/>
          <w:p>
            <w:pPr>
              <w:pStyle w:val="Compact"/>
            </w:pPr>
            <w:r>
              <w:t xml:space="preserve">Overconfidence or memory gaps</w:t>
            </w:r>
          </w:p>
        </w:tc>
        <w:tc>
          <w:tcPr/>
          <w:p>
            <w:pPr>
              <w:pStyle w:val="Compact"/>
            </w:pPr>
            <w:r>
              <w:t xml:space="preserve">Use prompts: asleep/intoxicated/child → default uncertainty and escalate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[80]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“Immunocompromised”</w:t>
            </w:r>
          </w:p>
        </w:tc>
        <w:tc>
          <w:tcPr/>
          <w:p>
            <w:pPr>
              <w:pStyle w:val="Compact"/>
            </w:pPr>
            <w:r>
              <w:t xml:space="preserve">“Immune system weakened (cancer treatment, transplant meds, high-dose steroids, etc.)”</w:t>
            </w:r>
          </w:p>
        </w:tc>
        <w:tc>
          <w:tcPr/>
          <w:p>
            <w:pPr>
              <w:pStyle w:val="Compact"/>
            </w:pPr>
            <w:r>
              <w:t xml:space="preserve">People may not know</w:t>
            </w:r>
          </w:p>
        </w:tc>
        <w:tc>
          <w:tcPr/>
          <w:p>
            <w:pPr>
              <w:pStyle w:val="Compact"/>
            </w:pPr>
            <w:r>
              <w:t xml:space="preserve">Include a short checklist + “I’m not sure” → clinician assessment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[81]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“Asplenia”</w:t>
            </w:r>
          </w:p>
        </w:tc>
        <w:tc>
          <w:tcPr/>
          <w:p>
            <w:pPr>
              <w:pStyle w:val="Compact"/>
            </w:pPr>
            <w:r>
              <w:t xml:space="preserve">“No spleen / spleen doesn’t work well”</w:t>
            </w:r>
          </w:p>
        </w:tc>
        <w:tc>
          <w:tcPr/>
          <w:p>
            <w:pPr>
              <w:pStyle w:val="Compact"/>
            </w:pPr>
            <w:r>
              <w:t xml:space="preserve">Low public awareness</w:t>
            </w:r>
          </w:p>
        </w:tc>
        <w:tc>
          <w:tcPr/>
          <w:p>
            <w:pPr>
              <w:pStyle w:val="Compact"/>
            </w:pPr>
            <w:r>
              <w:t xml:space="preserve">Clinician-mode question; public-mode: include in “immune risk” checklist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[74]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“Dirty/major wound” (tetanus)</w:t>
            </w:r>
          </w:p>
        </w:tc>
        <w:tc>
          <w:tcPr/>
          <w:p>
            <w:pPr>
              <w:pStyle w:val="Compact"/>
            </w:pPr>
            <w:r>
              <w:t xml:space="preserve">“Deep puncture, crushed tissue, or bite wound contaminated with saliva/dirt”</w:t>
            </w:r>
          </w:p>
        </w:tc>
        <w:tc>
          <w:tcPr/>
          <w:p>
            <w:pPr>
              <w:pStyle w:val="Compact"/>
            </w:pPr>
            <w:r>
              <w:t xml:space="preserve">Users may underestimate “dirty”</w:t>
            </w:r>
          </w:p>
        </w:tc>
        <w:tc>
          <w:tcPr/>
          <w:p>
            <w:pPr>
              <w:pStyle w:val="Compact"/>
            </w:pPr>
            <w:r>
              <w:t xml:space="preserve">Engine should internally classify animal bites as “dirty/major” by default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“Observe animal for 10 days”</w:t>
            </w:r>
          </w:p>
        </w:tc>
        <w:tc>
          <w:tcPr/>
          <w:p>
            <w:pPr>
              <w:pStyle w:val="Compact"/>
            </w:pPr>
            <w:r>
              <w:t xml:space="preserve">“A healthy dog/cat/ferret can sometimes be watched for 10 days after the bite”</w:t>
            </w:r>
          </w:p>
        </w:tc>
        <w:tc>
          <w:tcPr/>
          <w:p>
            <w:pPr>
              <w:pStyle w:val="Compact"/>
            </w:pPr>
            <w:r>
              <w:t xml:space="preserve">Users may do this without public health guidance</w:t>
            </w:r>
          </w:p>
        </w:tc>
        <w:tc>
          <w:tcPr/>
          <w:p>
            <w:pPr>
              <w:pStyle w:val="Compact"/>
            </w:pPr>
            <w:r>
              <w:t xml:space="preserve">Output should always say “coordinate with public health/clinician”; include “don’t vaccinate during observation” only in clinician view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[82]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“PEP (rabies)”</w:t>
            </w:r>
          </w:p>
        </w:tc>
        <w:tc>
          <w:tcPr/>
          <w:p>
            <w:pPr>
              <w:pStyle w:val="Compact"/>
            </w:pPr>
            <w:r>
              <w:t xml:space="preserve">“Rabies shots to prevent rabies after exposure”</w:t>
            </w:r>
          </w:p>
        </w:tc>
        <w:tc>
          <w:tcPr/>
          <w:p>
            <w:pPr>
              <w:pStyle w:val="Compact"/>
            </w:pPr>
            <w:r>
              <w:t xml:space="preserve">Misunderstanding timing/urgency</w:t>
            </w:r>
          </w:p>
        </w:tc>
        <w:tc>
          <w:tcPr/>
          <w:p>
            <w:pPr>
              <w:pStyle w:val="Compact"/>
            </w:pPr>
            <w:r>
              <w:t xml:space="preserve">Use strong language: “don’t wait for symptoms”; provide immediate next steps (call public health/urgent care)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[83]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“Rabies not from petting”</w:t>
            </w:r>
          </w:p>
        </w:tc>
        <w:tc>
          <w:tcPr/>
          <w:p>
            <w:pPr>
              <w:pStyle w:val="Compact"/>
            </w:pPr>
            <w:r>
              <w:t xml:space="preserve">“You can’t get rabies from petting or touching fur”</w:t>
            </w:r>
          </w:p>
        </w:tc>
        <w:tc>
          <w:tcPr/>
          <w:p>
            <w:pPr>
              <w:pStyle w:val="Compact"/>
            </w:pPr>
            <w:r>
              <w:t xml:space="preserve">False reassurance if saliva-to-wound happened</w:t>
            </w:r>
          </w:p>
        </w:tc>
        <w:tc>
          <w:tcPr/>
          <w:p>
            <w:pPr>
              <w:pStyle w:val="Compact"/>
            </w:pPr>
            <w:r>
              <w:t xml:space="preserve">Always pair with the portal-of-entry questions first (cut/mucosa)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[84]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“Rapid sepsis risk pathogen (Capnocytophaga)”</w:t>
            </w:r>
          </w:p>
        </w:tc>
        <w:tc>
          <w:tcPr/>
          <w:p>
            <w:pPr>
              <w:pStyle w:val="Compact"/>
            </w:pPr>
            <w:r>
              <w:t xml:space="preserve">“Rare but serious blood infection risk after dog/cat saliva in a wound, especially with no spleen or weak immune system”</w:t>
            </w:r>
          </w:p>
        </w:tc>
        <w:tc>
          <w:tcPr/>
          <w:p>
            <w:pPr>
              <w:pStyle w:val="Compact"/>
            </w:pPr>
            <w:r>
              <w:t xml:space="preserve">Users may panic unnecessarily</w:t>
            </w:r>
          </w:p>
        </w:tc>
        <w:tc>
          <w:tcPr/>
          <w:p>
            <w:pPr>
              <w:pStyle w:val="Compact"/>
            </w:pPr>
            <w:r>
              <w:t xml:space="preserve">Gate behind host-risk node; message: “rare, but urgent if you have these risk factors”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[31]</w:t>
              </w:r>
            </w:hyperlink>
          </w:p>
        </w:tc>
      </w:tr>
    </w:tbl>
    <w:bookmarkEnd w:id="51"/>
    <w:bookmarkStart w:id="52" w:name="fail-safe-and-escalation-rules"/>
    <w:p>
      <w:pPr>
        <w:pStyle w:val="Heading2"/>
      </w:pPr>
      <w:r>
        <w:t xml:space="preserve">Fail-safe and escalation rules</w:t>
      </w:r>
    </w:p>
    <w:p>
      <w:pPr>
        <w:pStyle w:val="FirstParagraph"/>
      </w:pPr>
      <w:r>
        <w:rPr>
          <w:b/>
          <w:bCs/>
        </w:rPr>
        <w:t xml:space="preserve">Output 6: Fail-Safe / Escalation Rules</w:t>
      </w:r>
      <w:r>
        <w:br/>
      </w:r>
      <w:r>
        <w:t xml:space="preserve">(Encode as hard overrides that up-tier disposition when uncertainty could be catastrophic.)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 (trigger)</w:t>
            </w:r>
          </w:p>
        </w:tc>
        <w:tc>
          <w:tcPr/>
          <w:p>
            <w:pPr>
              <w:pStyle w:val="Compact"/>
            </w:pPr>
            <w:r>
              <w:t xml:space="preserve">Why it forces escalation</w:t>
            </w:r>
          </w:p>
        </w:tc>
        <w:tc>
          <w:tcPr/>
          <w:p>
            <w:pPr>
              <w:pStyle w:val="Compact"/>
            </w:pPr>
            <w:r>
              <w:t xml:space="preserve">Minimum safe default 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possible rabies Category III exposure (bite/scratch breaking skin OR saliva to mucosa OR saliva to broken skin) involving a mammal in a rabies-relevant setting</w:t>
            </w:r>
          </w:p>
        </w:tc>
        <w:tc>
          <w:tcPr/>
          <w:p>
            <w:pPr>
              <w:pStyle w:val="Compact"/>
            </w:pPr>
            <w:r>
              <w:t xml:space="preserve">Rabies is almost always fatal once symptomatic; PEP is preventive and should not wait for symptoms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[85]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Bat exposure with direct contact AND inability to rule out bite/scratch/saliva-to-wound/mucosa</w:t>
            </w:r>
          </w:p>
        </w:tc>
        <w:tc>
          <w:tcPr/>
          <w:p>
            <w:pPr>
              <w:pStyle w:val="Compact"/>
            </w:pPr>
            <w:r>
              <w:t xml:space="preserve">Bat bites may be tiny; major guidelines treat direct bat exposure as severe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[86]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“Bat in room” + unreliable historian (young child, intoxication, cognitive impairment, asleep and unsure)</w:t>
            </w:r>
          </w:p>
        </w:tc>
        <w:tc>
          <w:tcPr/>
          <w:p>
            <w:pPr>
              <w:pStyle w:val="Compact"/>
            </w:pPr>
            <w:r>
              <w:t xml:space="preserve">Jurisdictions vary; risk assessments explicitly hinge on reliability of history; safest public-facing output routes to assessment</w:t>
            </w:r>
          </w:p>
        </w:tc>
        <w:tc>
          <w:tcPr/>
          <w:p>
            <w:pPr>
              <w:pStyle w:val="Compact"/>
            </w:pPr>
            <w:r>
              <w:t xml:space="preserve">Tier 2 (Tier 1 if contact suspected)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[87]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Unknown animal species but confirmed mammal bite that broke skin, and animal not available</w:t>
            </w:r>
          </w:p>
        </w:tc>
        <w:tc>
          <w:tcPr/>
          <w:p>
            <w:pPr>
              <w:pStyle w:val="Compact"/>
            </w:pPr>
            <w:r>
              <w:t xml:space="preserve">Cannot confidently exclude rabies risk; public health risk assessment needed urgently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[88]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Dog/cat/ferret bite + animal is ill/abnormal or becomes ill during observation window</w:t>
            </w:r>
          </w:p>
        </w:tc>
        <w:tc>
          <w:tcPr/>
          <w:p>
            <w:pPr>
              <w:pStyle w:val="Compact"/>
            </w:pPr>
            <w:r>
              <w:t xml:space="preserve">Rabies virus can be present in saliva before clinical signs; illness during observation requires urgent coordination/testing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[53]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Any bite/scratch in an asplenic or severely immunocompromised person</w:t>
            </w:r>
          </w:p>
        </w:tc>
        <w:tc>
          <w:tcPr/>
          <w:p>
            <w:pPr>
              <w:pStyle w:val="Compact"/>
            </w:pPr>
            <w:r>
              <w:t xml:space="preserve">Higher risk of severe bacterial disease (notably Capnocytophaga); IDSA recommends preemptive antibiotics for these hosts</w:t>
            </w:r>
          </w:p>
        </w:tc>
        <w:tc>
          <w:tcPr/>
          <w:p>
            <w:pPr>
              <w:pStyle w:val="Compact"/>
            </w:pPr>
            <w:r>
              <w:t xml:space="preserve">Tier 1 for systemic signs or saliva-to-wound; otherwise Tier 2 same-day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[89]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Any suspected deep structure involvement (hand tendon/joint, face/neck deep wound, foreign body)</w:t>
            </w:r>
          </w:p>
        </w:tc>
        <w:tc>
          <w:tcPr/>
          <w:p>
            <w:pPr>
              <w:pStyle w:val="Compact"/>
            </w:pPr>
            <w:r>
              <w:t xml:space="preserve">Function-threatening injury + deep infection risk; needs timely exploration/imaging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[72]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Tetanus prophylaxis uncertainty in a dirty/major wound with unknown/incomplete immunisation</w:t>
            </w:r>
          </w:p>
        </w:tc>
        <w:tc>
          <w:tcPr/>
          <w:p>
            <w:pPr>
              <w:pStyle w:val="Compact"/>
            </w:pPr>
            <w:r>
              <w:t xml:space="preserve">TIG/vaccine decisions are time-sensitive for prevention; animal bites are dirty/major</w:t>
            </w:r>
          </w:p>
        </w:tc>
        <w:tc>
          <w:tcPr/>
          <w:p>
            <w:pPr>
              <w:pStyle w:val="Compact"/>
            </w:pPr>
            <w:r>
              <w:t xml:space="preserve">Tier 2 (escalate to Tier 1 if TIG indicated and delayed access likely)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Any macaque exposure (bite/scratch/mucosa), especially if cleansing delayed or head/neck/torso wound</w:t>
            </w:r>
          </w:p>
        </w:tc>
        <w:tc>
          <w:tcPr/>
          <w:p>
            <w:pPr>
              <w:pStyle w:val="Compact"/>
            </w:pPr>
            <w:r>
              <w:t xml:space="preserve">CDC criteria treat these as higher risk; recommends prolonged immediate cleansing and consideration of antivirals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If key data are “unknown” for high-impact nodes (skin broken? mucosa? bat contact? animal availability? geography?)</w:t>
            </w:r>
          </w:p>
        </w:tc>
        <w:tc>
          <w:tcPr/>
          <w:p>
            <w:pPr>
              <w:pStyle w:val="Compact"/>
            </w:pPr>
            <w:r>
              <w:t xml:space="preserve">Missingness can hide high-severity exposures; engine must be conservatively biased</w:t>
            </w:r>
          </w:p>
        </w:tc>
        <w:tc>
          <w:tcPr/>
          <w:p>
            <w:pPr>
              <w:pStyle w:val="Compact"/>
            </w:pPr>
            <w:r>
              <w:t xml:space="preserve">Escalate by one tier minimum; for rabies-critical nodes default to Tier 1/2 depending on scenario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[90]</w:t>
              </w:r>
            </w:hyperlink>
          </w:p>
        </w:tc>
      </w:tr>
    </w:tbl>
    <w:bookmarkEnd w:id="52"/>
    <w:bookmarkStart w:id="54" w:name="conflict-and-uncertainty-analysis"/>
    <w:p>
      <w:pPr>
        <w:pStyle w:val="Heading2"/>
      </w:pPr>
      <w:r>
        <w:t xml:space="preserve">Conflict and uncertainty analysis</w:t>
      </w:r>
    </w:p>
    <w:p>
      <w:pPr>
        <w:pStyle w:val="FirstParagraph"/>
      </w:pPr>
      <w:r>
        <w:rPr>
          <w:b/>
          <w:bCs/>
        </w:rPr>
        <w:t xml:space="preserve">Output 7: Conflict &amp; Uncertainty Analysis</w:t>
      </w:r>
      <w:r>
        <w:br/>
      </w:r>
      <w:r>
        <w:t xml:space="preserve">(Where guidance differs, the engine should prefer conservative escalation that still minimises unnecessary Tier 1 referrals.)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What differs</w:t>
            </w:r>
          </w:p>
        </w:tc>
        <w:tc>
          <w:tcPr/>
          <w:p>
            <w:pPr>
              <w:pStyle w:val="Compact"/>
            </w:pPr>
            <w:r>
              <w:t xml:space="preserve">Representative sources</w:t>
            </w:r>
          </w:p>
        </w:tc>
        <w:tc>
          <w:tcPr/>
          <w:p>
            <w:pPr>
              <w:pStyle w:val="Compact"/>
            </w:pPr>
            <w:r>
              <w:t xml:space="preserve">Decision implication for engine</w:t>
            </w:r>
          </w:p>
        </w:tc>
        <w:tc>
          <w:tcPr/>
          <w:p>
            <w:pPr>
              <w:pStyle w:val="Compact"/>
            </w:pPr>
            <w:r>
              <w:t xml:space="preserve">Conservative bias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 “bedroom exposure” thresholds</w:t>
            </w:r>
          </w:p>
        </w:tc>
        <w:tc>
          <w:tcPr/>
          <w:p>
            <w:pPr>
              <w:pStyle w:val="Compact"/>
            </w:pPr>
            <w:r>
              <w:t xml:space="preserve">Canada/parts of Canada emphasise</w:t>
            </w:r>
            <w:r>
              <w:t xml:space="preserve"> </w:t>
            </w:r>
            <w:r>
              <w:rPr>
                <w:b/>
                <w:bCs/>
              </w:rPr>
              <w:t xml:space="preserve">direct contact</w:t>
            </w:r>
            <w:r>
              <w:t xml:space="preserve"> </w:t>
            </w:r>
            <w:r>
              <w:t xml:space="preserve">+ inability to rule out bite; some US risk assessments consider PEP when a bat is found in proximity to someone who can’t be sure (e.g., waking with bat in room)</w:t>
            </w:r>
          </w:p>
        </w:tc>
        <w:tc>
          <w:tcPr/>
          <w:p>
            <w:pPr>
              <w:pStyle w:val="Compact"/>
            </w:pPr>
            <w:r>
              <w:t xml:space="preserve">Canada bat exposure statement; Ontario guidance; CDC MMWR on sleeping persons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public engine that hard-codes only one threshold may misclassify across jurisdictions</w:t>
            </w:r>
          </w:p>
        </w:tc>
        <w:tc>
          <w:tcPr/>
          <w:p>
            <w:pPr>
              <w:pStyle w:val="Compact"/>
            </w:pPr>
            <w:r>
              <w:t xml:space="preserve">If bat present and user cannot reliably exclude contact → route to Tier 2 assessment; if direct contact suspected → Tier 1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[92]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Rabies PEP regimens across countries/resources</w:t>
            </w:r>
          </w:p>
        </w:tc>
        <w:tc>
          <w:tcPr/>
          <w:p>
            <w:pPr>
              <w:pStyle w:val="Compact"/>
            </w:pPr>
            <w:r>
              <w:t xml:space="preserve">Dose schedules and intradermal vs intramuscular regimens differ (WHO supports intradermal as dose-sparing; CDC uses ACIP schedules; UKHSA uses amber/red matrix)</w:t>
            </w:r>
          </w:p>
        </w:tc>
        <w:tc>
          <w:tcPr/>
          <w:p>
            <w:pPr>
              <w:pStyle w:val="Compact"/>
            </w:pPr>
            <w:r>
              <w:t xml:space="preserve">WHO PEP recommendations; CDC PEP guidance; UKHSA PET guidelines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[90]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Engine should avoid hard-coding dosing; focus on “needs PEP” disposition and route to local protocol</w:t>
            </w:r>
          </w:p>
        </w:tc>
        <w:tc>
          <w:tcPr/>
          <w:p>
            <w:pPr>
              <w:pStyle w:val="Compact"/>
            </w:pPr>
            <w:r>
              <w:t xml:space="preserve">Output “PEP indicated—follow local public health protocol” + region-aware content modules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[93]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Indirect contact/fomites for rabies</w:t>
            </w:r>
          </w:p>
        </w:tc>
        <w:tc>
          <w:tcPr/>
          <w:p>
            <w:pPr>
              <w:pStyle w:val="Compact"/>
            </w:pPr>
            <w:r>
              <w:t xml:space="preserve">Consensus that petting/touching fur or contaminated objects is not a rabies route; but public confusion persists</w:t>
            </w:r>
          </w:p>
        </w:tc>
        <w:tc>
          <w:tcPr/>
          <w:p>
            <w:pPr>
              <w:pStyle w:val="Compact"/>
            </w:pPr>
            <w:r>
              <w:t xml:space="preserve">CDC rabies clinical overview; Canada prevention page; WHO Category I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[94]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Major opportunity for safe de-escalation to Tier 4 when portal-of-entry is excluded</w:t>
            </w:r>
          </w:p>
        </w:tc>
        <w:tc>
          <w:tcPr/>
          <w:p>
            <w:pPr>
              <w:pStyle w:val="Compact"/>
            </w:pPr>
            <w:r>
              <w:t xml:space="preserve">Use strict portal-of-entry gating: if intact skin only → Tier 4 reassurance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[95]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Antibiotic prophylaxis for mammalian bites</w:t>
            </w:r>
          </w:p>
        </w:tc>
        <w:tc>
          <w:tcPr/>
          <w:p>
            <w:pPr>
              <w:pStyle w:val="Compact"/>
            </w:pPr>
            <w:r>
              <w:t xml:space="preserve">Evidence is mixed overall; benefit clearer for hand bites/human bites; guidelines still recommend preemptive antibiotics for specific high-risk conditions</w:t>
            </w:r>
          </w:p>
        </w:tc>
        <w:tc>
          <w:tcPr/>
          <w:p>
            <w:pPr>
              <w:pStyle w:val="Compact"/>
            </w:pPr>
            <w:r>
              <w:t xml:space="preserve">Cochrane summary; IDSA bite recommendations; CDC wound care notes re bacterial infection risk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[96]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Engine should not recommend antibiotics for everyone but should strongly route high-risk bites to assessment</w:t>
            </w:r>
          </w:p>
        </w:tc>
        <w:tc>
          <w:tcPr/>
          <w:p>
            <w:pPr>
              <w:pStyle w:val="Compact"/>
            </w:pPr>
            <w:r>
              <w:t xml:space="preserve">Encode IDSA high-risk criteria nodes (immunocompromised/asplenia/liver disease/edema/hand-face/mod-severe/joint capsule)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[81]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Cat bites: “treat all” vs “risk-stratify”</w:t>
            </w:r>
          </w:p>
        </w:tc>
        <w:tc>
          <w:tcPr/>
          <w:p>
            <w:pPr>
              <w:pStyle w:val="Compact"/>
            </w:pPr>
            <w:r>
              <w:t xml:space="preserve">Some clinical pathways treat all cat bites as high risk due to puncture nature; formal guideline criteria emphasise severity/location/host</w:t>
            </w:r>
          </w:p>
        </w:tc>
        <w:tc>
          <w:tcPr/>
          <w:p>
            <w:pPr>
              <w:pStyle w:val="Compact"/>
            </w:pPr>
            <w:r>
              <w:t xml:space="preserve">IDSA criteria; evidence on cat bite infection risk factors (observational)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Over-referral vs missed deep hand infections is the main tradeoff</w:t>
            </w:r>
          </w:p>
        </w:tc>
        <w:tc>
          <w:tcPr/>
          <w:p>
            <w:pPr>
              <w:pStyle w:val="Compact"/>
            </w:pPr>
            <w:r>
              <w:t xml:space="preserve">For public safety: any cat bite that breaks skin → at least Tier 2; cat bite to hand → Tier 1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Rabies relevance by animal category (rodents/lagomorphs)</w:t>
            </w:r>
          </w:p>
        </w:tc>
        <w:tc>
          <w:tcPr/>
          <w:p>
            <w:pPr>
              <w:pStyle w:val="Compact"/>
            </w:pPr>
            <w:r>
              <w:t xml:space="preserve">Strong consensus that small rodents/lagomorphs rarely transmit rabies in North America; still requires case-by-case if behaviour highly unusual or geography differs</w:t>
            </w:r>
          </w:p>
        </w:tc>
        <w:tc>
          <w:tcPr/>
          <w:p>
            <w:pPr>
              <w:pStyle w:val="Compact"/>
            </w:pPr>
            <w:r>
              <w:t xml:space="preserve">Canadian Immunization Guide; Ontario guideline; CDC travel guidance notes individual assessment</w:t>
            </w:r>
          </w:p>
        </w:tc>
        <w:tc>
          <w:tcPr/>
          <w:p>
            <w:pPr>
              <w:pStyle w:val="Compact"/>
            </w:pPr>
            <w:r>
              <w:t xml:space="preserve">Engine can safely de-escalate rabies concern for many small rodent bites while still addressing wound/tetanus</w:t>
            </w:r>
          </w:p>
        </w:tc>
        <w:tc>
          <w:tcPr/>
          <w:p>
            <w:pPr>
              <w:pStyle w:val="Compact"/>
            </w:pPr>
            <w:r>
              <w:t xml:space="preserve">Default: rabies Tier 3/4 unless unusual behaviour or high-risk region; still assess wound/tetanus by severity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“Other zoonoses” breadth vs usability</w:t>
            </w:r>
          </w:p>
        </w:tc>
        <w:tc>
          <w:tcPr/>
          <w:p>
            <w:pPr>
              <w:pStyle w:val="Compact"/>
            </w:pPr>
            <w:r>
              <w:t xml:space="preserve">Many rare zoonoses exist; overfitting can harm usability; yet some rare hazards (B virus, Capnocytophaga) change disposition</w:t>
            </w:r>
          </w:p>
        </w:tc>
        <w:tc>
          <w:tcPr/>
          <w:p>
            <w:pPr>
              <w:pStyle w:val="Compact"/>
            </w:pPr>
            <w:r>
              <w:t xml:space="preserve">CDC B virus clinical care; CDC Capnocytophaga clinical overview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[100]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Need a principled inclusion criterion</w:t>
            </w:r>
          </w:p>
        </w:tc>
        <w:tc>
          <w:tcPr/>
          <w:p>
            <w:pPr>
              <w:pStyle w:val="Compact"/>
            </w:pPr>
            <w:r>
              <w:t xml:space="preserve">Include rare hazards only when</w:t>
            </w:r>
            <w:r>
              <w:t xml:space="preserve"> </w:t>
            </w:r>
            <w:r>
              <w:rPr>
                <w:b/>
                <w:bCs/>
              </w:rPr>
              <w:t xml:space="preserve">high severity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actionable</w:t>
            </w:r>
            <w:r>
              <w:t xml:space="preserve"> </w:t>
            </w:r>
            <w:r>
              <w:t xml:space="preserve">with clear exposure gate (e.g., macaque; asplenia)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[101]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Rabies risk matrices and “country risk lists”</w:t>
            </w:r>
          </w:p>
        </w:tc>
        <w:tc>
          <w:tcPr/>
          <w:p>
            <w:pPr>
              <w:pStyle w:val="Compact"/>
            </w:pPr>
            <w:r>
              <w:t xml:space="preserve">UKHSA uses explicit country/animal risk lists and composite risk tables; Canada/US often use public health risk assessment rather than publishing a single traffic-light table</w:t>
            </w:r>
          </w:p>
        </w:tc>
        <w:tc>
          <w:tcPr/>
          <w:p>
            <w:pPr>
              <w:pStyle w:val="Compact"/>
            </w:pPr>
            <w:r>
              <w:t xml:space="preserve">UKHSA PET guidance; PHAC/Canadian Immunization Guide risk assessment framing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[102]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Fully automated geography classification is hard without curated datasets and updates</w:t>
            </w:r>
          </w:p>
        </w:tc>
        <w:tc>
          <w:tcPr/>
          <w:p>
            <w:pPr>
              <w:pStyle w:val="Compact"/>
            </w:pPr>
            <w:r>
              <w:t xml:space="preserve">Prefer “where did exposure occur?” + integrate an updatable geography module (public health data feed); if unknown → escalate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[103]</w:t>
              </w:r>
            </w:hyperlink>
          </w:p>
        </w:tc>
      </w:tr>
    </w:tbl>
    <w:bookmarkEnd w:id="54"/>
    <w:bookmarkEnd w:id="55"/>
    <w:bookmarkEnd w:id="56"/>
    <w:p>
      <w:r>
        <w:pict>
          <v:rect style="width:0;height:1.5pt" o:hralign="center" o:hrstd="t" o:hr="t"/>
        </w:pict>
      </w:r>
    </w:p>
    <w:bookmarkStart w:id="5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t xml:space="preserve"> </w:t>
      </w:r>
      <w:hyperlink r:id="rId21">
        <w:r>
          <w:rPr>
            <w:rStyle w:val="Hyperlink"/>
          </w:rPr>
          <w:t xml:space="preserve">[47]</w:t>
        </w:r>
      </w:hyperlink>
      <w:r>
        <w:t xml:space="preserve"> </w:t>
      </w:r>
      <w:hyperlink r:id="rId21">
        <w:r>
          <w:rPr>
            <w:rStyle w:val="Hyperlink"/>
          </w:rPr>
          <w:t xml:space="preserve">[48]</w:t>
        </w:r>
      </w:hyperlink>
      <w:r>
        <w:t xml:space="preserve"> </w:t>
      </w:r>
      <w:hyperlink r:id="rId21">
        <w:r>
          <w:rPr>
            <w:rStyle w:val="Hyperlink"/>
          </w:rPr>
          <w:t xml:space="preserve">[56]</w:t>
        </w:r>
      </w:hyperlink>
      <w:r>
        <w:t xml:space="preserve"> </w:t>
      </w:r>
      <w:hyperlink r:id="rId21">
        <w:r>
          <w:rPr>
            <w:rStyle w:val="Hyperlink"/>
          </w:rPr>
          <w:t xml:space="preserve">[62]</w:t>
        </w:r>
      </w:hyperlink>
      <w:r>
        <w:t xml:space="preserve"> </w:t>
      </w:r>
      <w:hyperlink r:id="rId21">
        <w:r>
          <w:rPr>
            <w:rStyle w:val="Hyperlink"/>
          </w:rPr>
          <w:t xml:space="preserve">[63]</w:t>
        </w:r>
      </w:hyperlink>
      <w:r>
        <w:t xml:space="preserve"> </w:t>
      </w:r>
      <w:hyperlink r:id="rId21">
        <w:r>
          <w:rPr>
            <w:rStyle w:val="Hyperlink"/>
          </w:rPr>
          <w:t xml:space="preserve">[85]</w:t>
        </w:r>
      </w:hyperlink>
      <w:r>
        <w:t xml:space="preserve"> </w:t>
      </w:r>
      <w:hyperlink r:id="rId21">
        <w:r>
          <w:rPr>
            <w:rStyle w:val="Hyperlink"/>
          </w:rPr>
          <w:t xml:space="preserve">[90]</w:t>
        </w:r>
      </w:hyperlink>
      <w:r>
        <w:t xml:space="preserve"> </w:t>
      </w:r>
      <w:hyperlink r:id="rId21">
        <w:r>
          <w:rPr>
            <w:rStyle w:val="Hyperlink"/>
          </w:rPr>
          <w:t xml:space="preserve">[95]</w:t>
        </w:r>
      </w:hyperlink>
      <w:r>
        <w:t xml:space="preserve"> </w:t>
      </w:r>
      <w:r>
        <w:t xml:space="preserve">https://www.who.int/teams/control-of-neglected-tropical-diseases/rabies/vaccinations-and-immunization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https://www.who.int/teams/control-of-neglected-tropical-diseases/rabies/vaccinations-and-immunization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  <w:r>
        <w:t xml:space="preserve"> </w:t>
      </w:r>
      <w:hyperlink r:id="rId22">
        <w:r>
          <w:rPr>
            <w:rStyle w:val="Hyperlink"/>
          </w:rPr>
          <w:t xml:space="preserve">[31]</w:t>
        </w:r>
      </w:hyperlink>
      <w:r>
        <w:t xml:space="preserve"> </w:t>
      </w:r>
      <w:hyperlink r:id="rId22">
        <w:r>
          <w:rPr>
            <w:rStyle w:val="Hyperlink"/>
          </w:rPr>
          <w:t xml:space="preserve">[40]</w:t>
        </w:r>
      </w:hyperlink>
      <w:r>
        <w:t xml:space="preserve"> </w:t>
      </w:r>
      <w:hyperlink r:id="rId22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https://www.cdc.gov/capnocytophaga/about/index.html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https://www.cdc.gov/capnocytophaga/about/index.html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[102]</w:t>
        </w:r>
      </w:hyperlink>
      <w:r>
        <w:t xml:space="preserve"> </w:t>
      </w:r>
      <w:hyperlink r:id="rId23">
        <w:r>
          <w:rPr>
            <w:rStyle w:val="Hyperlink"/>
          </w:rPr>
          <w:t xml:space="preserve">[103]</w:t>
        </w:r>
      </w:hyperlink>
      <w:r>
        <w:t xml:space="preserve"> </w:t>
      </w:r>
      <w:r>
        <w:t xml:space="preserve">https://assets.publishing.service.gov.uk/media/63ce5d4b8fa8f53fe29c7fbd/UKHSA-guidelines-on-rabies-post-exposure-treatment-January-2023.pdf</w:t>
      </w:r>
    </w:p>
    <w:p>
      <w:pPr>
        <w:pStyle w:val="BodyText"/>
      </w:pPr>
      <w:hyperlink r:id="rId23">
        <w:r>
          <w:rPr>
            <w:rStyle w:val="Hyperlink"/>
          </w:rPr>
          <w:t xml:space="preserve">https://assets.publishing.service.gov.uk/media/63ce5d4b8fa8f53fe29c7fbd/UKHSA-guidelines-on-rabies-post-exposure-treatment-January-2023.pdf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  <w:r>
        <w:t xml:space="preserve"> </w:t>
      </w:r>
      <w:hyperlink r:id="rId24">
        <w:r>
          <w:rPr>
            <w:rStyle w:val="Hyperlink"/>
          </w:rPr>
          <w:t xml:space="preserve">[35]</w:t>
        </w:r>
      </w:hyperlink>
      <w:r>
        <w:t xml:space="preserve"> </w:t>
      </w:r>
      <w:hyperlink r:id="rId24">
        <w:r>
          <w:rPr>
            <w:rStyle w:val="Hyperlink"/>
          </w:rPr>
          <w:t xml:space="preserve">[45]</w:t>
        </w:r>
      </w:hyperlink>
      <w:r>
        <w:t xml:space="preserve"> </w:t>
      </w:r>
      <w:hyperlink r:id="rId24">
        <w:r>
          <w:rPr>
            <w:rStyle w:val="Hyperlink"/>
          </w:rPr>
          <w:t xml:space="preserve">[54]</w:t>
        </w:r>
      </w:hyperlink>
      <w:r>
        <w:t xml:space="preserve"> </w:t>
      </w:r>
      <w:hyperlink r:id="rId24">
        <w:r>
          <w:rPr>
            <w:rStyle w:val="Hyperlink"/>
          </w:rPr>
          <w:t xml:space="preserve">[55]</w:t>
        </w:r>
      </w:hyperlink>
      <w:r>
        <w:t xml:space="preserve"> </w:t>
      </w:r>
      <w:hyperlink r:id="rId24">
        <w:r>
          <w:rPr>
            <w:rStyle w:val="Hyperlink"/>
          </w:rPr>
          <w:t xml:space="preserve">[58]</w:t>
        </w:r>
      </w:hyperlink>
      <w:r>
        <w:t xml:space="preserve"> </w:t>
      </w:r>
      <w:hyperlink r:id="rId24">
        <w:r>
          <w:rPr>
            <w:rStyle w:val="Hyperlink"/>
          </w:rPr>
          <w:t xml:space="preserve">[70]</w:t>
        </w:r>
      </w:hyperlink>
      <w:r>
        <w:t xml:space="preserve"> </w:t>
      </w:r>
      <w:hyperlink r:id="rId24">
        <w:r>
          <w:rPr>
            <w:rStyle w:val="Hyperlink"/>
          </w:rPr>
          <w:t xml:space="preserve">[71]</w:t>
        </w:r>
      </w:hyperlink>
      <w:r>
        <w:t xml:space="preserve"> </w:t>
      </w:r>
      <w:hyperlink r:id="rId24">
        <w:r>
          <w:rPr>
            <w:rStyle w:val="Hyperlink"/>
          </w:rPr>
          <w:t xml:space="preserve">[72]</w:t>
        </w:r>
      </w:hyperlink>
      <w:r>
        <w:t xml:space="preserve"> </w:t>
      </w:r>
      <w:hyperlink r:id="rId24">
        <w:r>
          <w:rPr>
            <w:rStyle w:val="Hyperlink"/>
          </w:rPr>
          <w:t xml:space="preserve">[81]</w:t>
        </w:r>
      </w:hyperlink>
      <w:r>
        <w:t xml:space="preserve"> </w:t>
      </w:r>
      <w:hyperlink r:id="rId24">
        <w:r>
          <w:rPr>
            <w:rStyle w:val="Hyperlink"/>
          </w:rPr>
          <w:t xml:space="preserve">[97]</w:t>
        </w:r>
      </w:hyperlink>
      <w:r>
        <w:t xml:space="preserve"> </w:t>
      </w:r>
      <w:hyperlink r:id="rId24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https://www.idsociety.org/globalassets/idsa/practice-guidelines/practice-guidelines-for-the-diagnosis-and-management-of-skin-and-soft-tissue-infections-2014-update-by-the-infectious-diseases-society-of-america.pdf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https://www.idsociety.org/globalassets/idsa/practice-guidelines/practice-guidelines-for-the-diagnosis-and-management-of-skin-and-soft-tissue-infections-2014-update-by-the-infectious-diseases-society-of-america.pdf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[43]</w:t>
        </w:r>
      </w:hyperlink>
      <w:r>
        <w:t xml:space="preserve"> </w:t>
      </w:r>
      <w:hyperlink r:id="rId25">
        <w:r>
          <w:rPr>
            <w:rStyle w:val="Hyperlink"/>
          </w:rPr>
          <w:t xml:space="preserve">[44]</w:t>
        </w:r>
      </w:hyperlink>
      <w:r>
        <w:t xml:space="preserve"> </w:t>
      </w:r>
      <w:hyperlink r:id="rId25">
        <w:r>
          <w:rPr>
            <w:rStyle w:val="Hyperlink"/>
          </w:rPr>
          <w:t xml:space="preserve">[46]</w:t>
        </w:r>
      </w:hyperlink>
      <w:r>
        <w:t xml:space="preserve"> </w:t>
      </w:r>
      <w:hyperlink r:id="rId25">
        <w:r>
          <w:rPr>
            <w:rStyle w:val="Hyperlink"/>
          </w:rPr>
          <w:t xml:space="preserve">[51]</w:t>
        </w:r>
      </w:hyperlink>
      <w:r>
        <w:t xml:space="preserve"> </w:t>
      </w:r>
      <w:hyperlink r:id="rId25">
        <w:r>
          <w:rPr>
            <w:rStyle w:val="Hyperlink"/>
          </w:rPr>
          <w:t xml:space="preserve">[69]</w:t>
        </w:r>
      </w:hyperlink>
      <w:r>
        <w:t xml:space="preserve"> </w:t>
      </w:r>
      <w:hyperlink r:id="rId25">
        <w:r>
          <w:rPr>
            <w:rStyle w:val="Hyperlink"/>
          </w:rPr>
          <w:t xml:space="preserve">[83]</w:t>
        </w:r>
      </w:hyperlink>
      <w:r>
        <w:t xml:space="preserve"> </w:t>
      </w:r>
      <w:hyperlink r:id="rId25">
        <w:r>
          <w:rPr>
            <w:rStyle w:val="Hyperlink"/>
          </w:rPr>
          <w:t xml:space="preserve">[88]</w:t>
        </w:r>
      </w:hyperlink>
      <w:r>
        <w:t xml:space="preserve"> </w:t>
      </w:r>
      <w:hyperlink r:id="rId25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https://www.cdc.gov/rabies/hcp/clinical-care/post-exposure-prophylaxis.html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https://www.cdc.gov/rabies/hcp/clinical-care/post-exposure-prophylaxis.html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[34]</w:t>
        </w:r>
      </w:hyperlink>
      <w:r>
        <w:t xml:space="preserve"> </w:t>
      </w:r>
      <w:hyperlink r:id="rId26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https://www.cdc.gov/tetanus/hcp/clinical-guidance/index.html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https://www.cdc.gov/tetanus/hcp/clinical-guidance/index.html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[14]</w:t>
        </w:r>
      </w:hyperlink>
      <w:r>
        <w:t xml:space="preserve"> </w:t>
      </w:r>
      <w:hyperlink r:id="rId27">
        <w:r>
          <w:rPr>
            <w:rStyle w:val="Hyperlink"/>
          </w:rPr>
          <w:t xml:space="preserve">[52]</w:t>
        </w:r>
      </w:hyperlink>
      <w:r>
        <w:t xml:space="preserve"> </w:t>
      </w:r>
      <w:hyperlink r:id="rId27">
        <w:r>
          <w:rPr>
            <w:rStyle w:val="Hyperlink"/>
          </w:rPr>
          <w:t xml:space="preserve">[53]</w:t>
        </w:r>
      </w:hyperlink>
      <w:r>
        <w:t xml:space="preserve"> </w:t>
      </w:r>
      <w:hyperlink r:id="rId27">
        <w:r>
          <w:rPr>
            <w:rStyle w:val="Hyperlink"/>
          </w:rPr>
          <w:t xml:space="preserve">[66]</w:t>
        </w:r>
      </w:hyperlink>
      <w:r>
        <w:t xml:space="preserve"> </w:t>
      </w:r>
      <w:hyperlink r:id="rId27">
        <w:r>
          <w:rPr>
            <w:rStyle w:val="Hyperlink"/>
          </w:rPr>
          <w:t xml:space="preserve">[67]</w:t>
        </w:r>
      </w:hyperlink>
      <w:r>
        <w:t xml:space="preserve"> </w:t>
      </w:r>
      <w:hyperlink r:id="rId27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https://www.cdc.gov/rabies/hcp/veterinarians/index.html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https://www.cdc.gov/rabies/hcp/veterinarians/index.html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https://www.who.int/data/gho/data/themes/topics/rabies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https://www.who.int/data/gho/data/themes/topics/rabies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[15]</w:t>
        </w:r>
      </w:hyperlink>
      <w:r>
        <w:t xml:space="preserve"> </w:t>
      </w:r>
      <w:hyperlink r:id="rId29">
        <w:r>
          <w:rPr>
            <w:rStyle w:val="Hyperlink"/>
          </w:rPr>
          <w:t xml:space="preserve">[22]</w:t>
        </w:r>
      </w:hyperlink>
      <w:r>
        <w:t xml:space="preserve"> </w:t>
      </w:r>
      <w:hyperlink r:id="rId29">
        <w:r>
          <w:rPr>
            <w:rStyle w:val="Hyperlink"/>
          </w:rPr>
          <w:t xml:space="preserve">[26]</w:t>
        </w:r>
      </w:hyperlink>
      <w:r>
        <w:t xml:space="preserve"> </w:t>
      </w:r>
      <w:hyperlink r:id="rId29">
        <w:r>
          <w:rPr>
            <w:rStyle w:val="Hyperlink"/>
          </w:rPr>
          <w:t xml:space="preserve">[59]</w:t>
        </w:r>
      </w:hyperlink>
      <w:r>
        <w:t xml:space="preserve"> </w:t>
      </w:r>
      <w:hyperlink r:id="rId29">
        <w:r>
          <w:rPr>
            <w:rStyle w:val="Hyperlink"/>
          </w:rPr>
          <w:t xml:space="preserve">[64]</w:t>
        </w:r>
      </w:hyperlink>
      <w:r>
        <w:t xml:space="preserve"> </w:t>
      </w:r>
      <w:hyperlink r:id="rId29">
        <w:r>
          <w:rPr>
            <w:rStyle w:val="Hyperlink"/>
          </w:rPr>
          <w:t xml:space="preserve">[79]</w:t>
        </w:r>
      </w:hyperlink>
      <w:r>
        <w:t xml:space="preserve"> </w:t>
      </w:r>
      <w:hyperlink r:id="rId29">
        <w:r>
          <w:rPr>
            <w:rStyle w:val="Hyperlink"/>
          </w:rPr>
          <w:t xml:space="preserve">[86]</w:t>
        </w:r>
      </w:hyperlink>
      <w:r>
        <w:t xml:space="preserve"> </w:t>
      </w:r>
      <w:hyperlink r:id="rId29">
        <w:r>
          <w:rPr>
            <w:rStyle w:val="Hyperlink"/>
          </w:rPr>
          <w:t xml:space="preserve">[91]</w:t>
        </w:r>
      </w:hyperlink>
      <w:r>
        <w:t xml:space="preserve"> </w:t>
      </w:r>
      <w:hyperlink r:id="rId29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https://www.canada.ca/en/public-health/services/publications/healthy-living/canadian-immunization-guide-part-4-active-vaccines/page-18-rabies-vaccine.html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https://www.canada.ca/en/public-health/services/publications/healthy-living/canadian-immunization-guide-part-4-active-vaccines/page-18-rabies-vaccine.html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[17]</w:t>
        </w:r>
      </w:hyperlink>
      <w:r>
        <w:t xml:space="preserve"> </w:t>
      </w:r>
      <w:hyperlink r:id="rId30">
        <w:r>
          <w:rPr>
            <w:rStyle w:val="Hyperlink"/>
          </w:rPr>
          <w:t xml:space="preserve">[65]</w:t>
        </w:r>
      </w:hyperlink>
      <w:r>
        <w:t xml:space="preserve"> </w:t>
      </w:r>
      <w:hyperlink r:id="rId30">
        <w:r>
          <w:rPr>
            <w:rStyle w:val="Hyperlink"/>
          </w:rPr>
          <w:t xml:space="preserve">[80]</w:t>
        </w:r>
      </w:hyperlink>
      <w:r>
        <w:t xml:space="preserve"> </w:t>
      </w:r>
      <w:hyperlink r:id="rId30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https://files.ontario.ca/moh-guidelines-management-of-potential-rabies-exposures-guideline-en-2020.pdf</w:t>
      </w:r>
    </w:p>
    <w:p>
      <w:pPr>
        <w:pStyle w:val="BodyText"/>
      </w:pPr>
      <w:hyperlink r:id="rId30">
        <w:r>
          <w:rPr>
            <w:rStyle w:val="Hyperlink"/>
          </w:rPr>
          <w:t xml:space="preserve">https://files.ontario.ca/moh-guidelines-management-of-potential-rabies-exposures-guideline-en-2020.pdf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[18]</w:t>
        </w:r>
      </w:hyperlink>
      <w:r>
        <w:t xml:space="preserve"> </w:t>
      </w:r>
      <w:hyperlink r:id="rId31">
        <w:r>
          <w:rPr>
            <w:rStyle w:val="Hyperlink"/>
          </w:rPr>
          <w:t xml:space="preserve">[23]</w:t>
        </w:r>
      </w:hyperlink>
      <w:r>
        <w:t xml:space="preserve"> </w:t>
      </w:r>
      <w:hyperlink r:id="rId31">
        <w:r>
          <w:rPr>
            <w:rStyle w:val="Hyperlink"/>
          </w:rPr>
          <w:t xml:space="preserve">[42]</w:t>
        </w:r>
      </w:hyperlink>
      <w:r>
        <w:t xml:space="preserve"> </w:t>
      </w:r>
      <w:hyperlink r:id="rId31">
        <w:r>
          <w:rPr>
            <w:rStyle w:val="Hyperlink"/>
          </w:rPr>
          <w:t xml:space="preserve">[100]</w:t>
        </w:r>
      </w:hyperlink>
      <w:r>
        <w:t xml:space="preserve"> </w:t>
      </w:r>
      <w:hyperlink r:id="rId31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https://www.cdc.gov/herpes-b-virus/hcp/clinical-care/index.html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https://www.cdc.gov/herpes-b-virus/hcp/clinical-care/index.html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hyperlink r:id="rId3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https://pmc.ncbi.nlm.nih.gov/articles/PMC3122494/</w:t>
      </w:r>
    </w:p>
    <w:p>
      <w:pPr>
        <w:pStyle w:val="BodyText"/>
      </w:pPr>
      <w:hyperlink r:id="rId34">
        <w:r>
          <w:rPr>
            <w:rStyle w:val="Hyperlink"/>
          </w:rPr>
          <w:t xml:space="preserve">https://pmc.ncbi.nlm.nih.gov/articles/PMC3122494/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[21]</w:t>
        </w:r>
      </w:hyperlink>
      <w:r>
        <w:t xml:space="preserve"> </w:t>
      </w:r>
      <w:hyperlink r:id="rId35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https://www.cdc.gov/rabies/php/protecting-public-health/index.html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https://www.cdc.gov/rabies/php/protecting-public-health/index.html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[25]</w:t>
        </w:r>
      </w:hyperlink>
      <w:r>
        <w:t xml:space="preserve"> </w:t>
      </w:r>
      <w:hyperlink r:id="rId36">
        <w:r>
          <w:rPr>
            <w:rStyle w:val="Hyperlink"/>
          </w:rPr>
          <w:t xml:space="preserve">[29]</w:t>
        </w:r>
      </w:hyperlink>
      <w:r>
        <w:t xml:space="preserve"> </w:t>
      </w:r>
      <w:hyperlink r:id="rId36">
        <w:r>
          <w:rPr>
            <w:rStyle w:val="Hyperlink"/>
          </w:rPr>
          <w:t xml:space="preserve">[30]</w:t>
        </w:r>
      </w:hyperlink>
      <w:r>
        <w:t xml:space="preserve"> </w:t>
      </w:r>
      <w:hyperlink r:id="rId36">
        <w:r>
          <w:rPr>
            <w:rStyle w:val="Hyperlink"/>
          </w:rPr>
          <w:t xml:space="preserve">[32]</w:t>
        </w:r>
      </w:hyperlink>
      <w:r>
        <w:t xml:space="preserve"> </w:t>
      </w:r>
      <w:hyperlink r:id="rId36">
        <w:r>
          <w:rPr>
            <w:rStyle w:val="Hyperlink"/>
          </w:rPr>
          <w:t xml:space="preserve">[57]</w:t>
        </w:r>
      </w:hyperlink>
      <w:r>
        <w:t xml:space="preserve"> </w:t>
      </w:r>
      <w:hyperlink r:id="rId36">
        <w:r>
          <w:rPr>
            <w:rStyle w:val="Hyperlink"/>
          </w:rPr>
          <w:t xml:space="preserve">[61]</w:t>
        </w:r>
      </w:hyperlink>
      <w:r>
        <w:t xml:space="preserve"> </w:t>
      </w:r>
      <w:hyperlink r:id="rId36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https://www.cdc.gov/rabies/hcp/clinical-overview/index.html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https://www.cdc.gov/rabies/hcp/clinical-overview/index.html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hyperlink r:id="rId37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https://www.cdc.gov/rat-bite-fever/hcp/clinical-overview/index.html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https://www.cdc.gov/rat-bite-fever/hcp/clinical-overview/index.html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https://www.merckmanuals.com/professional/injuries-poisoning/bites-and-stings/human-and-mammal-bites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https://www.merckmanuals.com/professional/injuries-poisoning/bites-and-stings/human-and-mammal-bites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[37]</w:t>
        </w:r>
      </w:hyperlink>
      <w:r>
        <w:t xml:space="preserve"> </w:t>
      </w:r>
      <w:hyperlink r:id="rId40">
        <w:r>
          <w:rPr>
            <w:rStyle w:val="Hyperlink"/>
          </w:rPr>
          <w:t xml:space="preserve">[76]</w:t>
        </w:r>
      </w:hyperlink>
      <w:r>
        <w:t xml:space="preserve"> </w:t>
      </w:r>
      <w:hyperlink r:id="rId40">
        <w:r>
          <w:rPr>
            <w:rStyle w:val="Hyperlink"/>
          </w:rPr>
          <w:t xml:space="preserve">[77]</w:t>
        </w:r>
      </w:hyperlink>
      <w:r>
        <w:t xml:space="preserve"> </w:t>
      </w:r>
      <w:hyperlink r:id="rId40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https://www.canada.ca/en/public-health/services/diseases/rabies/prevention.html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https://www.canada.ca/en/public-health/services/diseases/rabies/prevention.html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https://www.canada.ca/en/public-health/services/laboratory-biosafety-biosecurity/pathogen-safety-data-sheets-risk-assessment/pasteurella.html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https://www.canada.ca/en/public-health/services/laboratory-biosafety-biosecurity/pathogen-safety-data-sheets-risk-assessment/pasteurella.html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[49]</w:t>
        </w:r>
      </w:hyperlink>
      <w:r>
        <w:t xml:space="preserve"> </w:t>
      </w:r>
      <w:hyperlink r:id="rId44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https://www.cdc.gov/mmwr/preview/mmwrhtml/mm6219a2.htm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https://www.cdc.gov/mmwr/preview/mmwrhtml/mm6219a2.htm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https://www.msdmanuals.com/professional/injuries-poisoning/genitourinary-tract-trauma/genital-trauma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https://www.msdmanuals.com/professional/injuries-poisoning/genitourinary-tract-trauma/genital-trauma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[73]</w:t>
        </w:r>
      </w:hyperlink>
      <w:r>
        <w:t xml:space="preserve"> </w:t>
      </w:r>
      <w:hyperlink r:id="rId48">
        <w:r>
          <w:rPr>
            <w:rStyle w:val="Hyperlink"/>
          </w:rPr>
          <w:t xml:space="preserve">[74]</w:t>
        </w:r>
      </w:hyperlink>
      <w:r>
        <w:t xml:space="preserve"> </w:t>
      </w:r>
      <w:hyperlink r:id="rId48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https://www.cdc.gov/capnocytophaga/hcp/clinical-overview/index.html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https://www.cdc.gov/capnocytophaga/hcp/clinical-overview/index.html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https://www.cdc.gov/rabies/prevention/bats.html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https://www.cdc.gov/rabies/prevention/bats.html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[96]</w:t>
        </w:r>
      </w:hyperlink>
      <w:r>
        <w:t xml:space="preserve"> </w:t>
      </w:r>
      <w:r>
        <w:t xml:space="preserve">https://www.cochrane.org/hr/evidence/CD001738_antibiotics-reducing-rate-infection-after-bites-mammals-such-humans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https://www.cochrane.org/hr/evidence/CD001738_antibiotics-reducing-rate-infection-after-bites-mammals-such-humans</w:t>
        </w:r>
      </w:hyperlink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ssets.publishing.service.gov.uk/media/63ce5d4b8fa8f53fe29c7fbd/UKHSA-guidelines-on-rabies-post-exposure-treatment-January-2023.pdf" TargetMode="External" /><Relationship Type="http://schemas.openxmlformats.org/officeDocument/2006/relationships/hyperlink" Id="rId30" Target="https://files.ontario.ca/moh-guidelines-management-of-potential-rabies-exposures-guideline-en-2020.pdf" TargetMode="External" /><Relationship Type="http://schemas.openxmlformats.org/officeDocument/2006/relationships/hyperlink" Id="rId34" Target="https://pmc.ncbi.nlm.nih.gov/articles/PMC3122494/" TargetMode="External" /><Relationship Type="http://schemas.openxmlformats.org/officeDocument/2006/relationships/hyperlink" Id="rId40" Target="https://www.canada.ca/en/public-health/services/diseases/rabies/prevention.html" TargetMode="External" /><Relationship Type="http://schemas.openxmlformats.org/officeDocument/2006/relationships/hyperlink" Id="rId41" Target="https://www.canada.ca/en/public-health/services/laboratory-biosafety-biosecurity/pathogen-safety-data-sheets-risk-assessment/pasteurella.html" TargetMode="External" /><Relationship Type="http://schemas.openxmlformats.org/officeDocument/2006/relationships/hyperlink" Id="rId29" Target="https://www.canada.ca/en/public-health/services/publications/healthy-living/canadian-immunization-guide-part-4-active-vaccines/page-18-rabies-vaccine.html" TargetMode="External" /><Relationship Type="http://schemas.openxmlformats.org/officeDocument/2006/relationships/hyperlink" Id="rId22" Target="https://www.cdc.gov/capnocytophaga/about/index.html" TargetMode="External" /><Relationship Type="http://schemas.openxmlformats.org/officeDocument/2006/relationships/hyperlink" Id="rId48" Target="https://www.cdc.gov/capnocytophaga/hcp/clinical-overview/index.html" TargetMode="External" /><Relationship Type="http://schemas.openxmlformats.org/officeDocument/2006/relationships/hyperlink" Id="rId31" Target="https://www.cdc.gov/herpes-b-virus/hcp/clinical-care/index.html" TargetMode="External" /><Relationship Type="http://schemas.openxmlformats.org/officeDocument/2006/relationships/hyperlink" Id="rId44" Target="https://www.cdc.gov/mmwr/preview/mmwrhtml/mm6219a2.htm" TargetMode="External" /><Relationship Type="http://schemas.openxmlformats.org/officeDocument/2006/relationships/hyperlink" Id="rId25" Target="https://www.cdc.gov/rabies/hcp/clinical-care/post-exposure-prophylaxis.html" TargetMode="External" /><Relationship Type="http://schemas.openxmlformats.org/officeDocument/2006/relationships/hyperlink" Id="rId36" Target="https://www.cdc.gov/rabies/hcp/clinical-overview/index.html" TargetMode="External" /><Relationship Type="http://schemas.openxmlformats.org/officeDocument/2006/relationships/hyperlink" Id="rId27" Target="https://www.cdc.gov/rabies/hcp/veterinarians/index.html" TargetMode="External" /><Relationship Type="http://schemas.openxmlformats.org/officeDocument/2006/relationships/hyperlink" Id="rId35" Target="https://www.cdc.gov/rabies/php/protecting-public-health/index.html" TargetMode="External" /><Relationship Type="http://schemas.openxmlformats.org/officeDocument/2006/relationships/hyperlink" Id="rId50" Target="https://www.cdc.gov/rabies/prevention/bats.html" TargetMode="External" /><Relationship Type="http://schemas.openxmlformats.org/officeDocument/2006/relationships/hyperlink" Id="rId37" Target="https://www.cdc.gov/rat-bite-fever/hcp/clinical-overview/index.html" TargetMode="External" /><Relationship Type="http://schemas.openxmlformats.org/officeDocument/2006/relationships/hyperlink" Id="rId26" Target="https://www.cdc.gov/tetanus/hcp/clinical-guidance/index.html" TargetMode="External" /><Relationship Type="http://schemas.openxmlformats.org/officeDocument/2006/relationships/hyperlink" Id="rId53" Target="https://www.cochrane.org/hr/evidence/CD001738_antibiotics-reducing-rate-infection-after-bites-mammals-such-humans" TargetMode="External" /><Relationship Type="http://schemas.openxmlformats.org/officeDocument/2006/relationships/hyperlink" Id="rId24" Target="https://www.idsociety.org/globalassets/idsa/practice-guidelines/practice-guidelines-for-the-diagnosis-and-management-of-skin-and-soft-tissue-infections-2014-update-by-the-infectious-diseases-society-of-america.pdf" TargetMode="External" /><Relationship Type="http://schemas.openxmlformats.org/officeDocument/2006/relationships/hyperlink" Id="rId38" Target="https://www.merckmanuals.com/professional/injuries-poisoning/bites-and-stings/human-and-mammal-bites" TargetMode="External" /><Relationship Type="http://schemas.openxmlformats.org/officeDocument/2006/relationships/hyperlink" Id="rId45" Target="https://www.msdmanuals.com/professional/injuries-poisoning/genitourinary-tract-trauma/genital-trauma" TargetMode="External" /><Relationship Type="http://schemas.openxmlformats.org/officeDocument/2006/relationships/hyperlink" Id="rId28" Target="https://www.who.int/data/gho/data/themes/topics/rabies" TargetMode="External" /><Relationship Type="http://schemas.openxmlformats.org/officeDocument/2006/relationships/hyperlink" Id="rId21" Target="https://www.who.int/teams/control-of-neglected-tropical-diseases/rabies/vaccinations-and-immuniz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ssets.publishing.service.gov.uk/media/63ce5d4b8fa8f53fe29c7fbd/UKHSA-guidelines-on-rabies-post-exposure-treatment-January-2023.pdf" TargetMode="External" /><Relationship Type="http://schemas.openxmlformats.org/officeDocument/2006/relationships/hyperlink" Id="rId30" Target="https://files.ontario.ca/moh-guidelines-management-of-potential-rabies-exposures-guideline-en-2020.pdf" TargetMode="External" /><Relationship Type="http://schemas.openxmlformats.org/officeDocument/2006/relationships/hyperlink" Id="rId34" Target="https://pmc.ncbi.nlm.nih.gov/articles/PMC3122494/" TargetMode="External" /><Relationship Type="http://schemas.openxmlformats.org/officeDocument/2006/relationships/hyperlink" Id="rId40" Target="https://www.canada.ca/en/public-health/services/diseases/rabies/prevention.html" TargetMode="External" /><Relationship Type="http://schemas.openxmlformats.org/officeDocument/2006/relationships/hyperlink" Id="rId41" Target="https://www.canada.ca/en/public-health/services/laboratory-biosafety-biosecurity/pathogen-safety-data-sheets-risk-assessment/pasteurella.html" TargetMode="External" /><Relationship Type="http://schemas.openxmlformats.org/officeDocument/2006/relationships/hyperlink" Id="rId29" Target="https://www.canada.ca/en/public-health/services/publications/healthy-living/canadian-immunization-guide-part-4-active-vaccines/page-18-rabies-vaccine.html" TargetMode="External" /><Relationship Type="http://schemas.openxmlformats.org/officeDocument/2006/relationships/hyperlink" Id="rId22" Target="https://www.cdc.gov/capnocytophaga/about/index.html" TargetMode="External" /><Relationship Type="http://schemas.openxmlformats.org/officeDocument/2006/relationships/hyperlink" Id="rId48" Target="https://www.cdc.gov/capnocytophaga/hcp/clinical-overview/index.html" TargetMode="External" /><Relationship Type="http://schemas.openxmlformats.org/officeDocument/2006/relationships/hyperlink" Id="rId31" Target="https://www.cdc.gov/herpes-b-virus/hcp/clinical-care/index.html" TargetMode="External" /><Relationship Type="http://schemas.openxmlformats.org/officeDocument/2006/relationships/hyperlink" Id="rId44" Target="https://www.cdc.gov/mmwr/preview/mmwrhtml/mm6219a2.htm" TargetMode="External" /><Relationship Type="http://schemas.openxmlformats.org/officeDocument/2006/relationships/hyperlink" Id="rId25" Target="https://www.cdc.gov/rabies/hcp/clinical-care/post-exposure-prophylaxis.html" TargetMode="External" /><Relationship Type="http://schemas.openxmlformats.org/officeDocument/2006/relationships/hyperlink" Id="rId36" Target="https://www.cdc.gov/rabies/hcp/clinical-overview/index.html" TargetMode="External" /><Relationship Type="http://schemas.openxmlformats.org/officeDocument/2006/relationships/hyperlink" Id="rId27" Target="https://www.cdc.gov/rabies/hcp/veterinarians/index.html" TargetMode="External" /><Relationship Type="http://schemas.openxmlformats.org/officeDocument/2006/relationships/hyperlink" Id="rId35" Target="https://www.cdc.gov/rabies/php/protecting-public-health/index.html" TargetMode="External" /><Relationship Type="http://schemas.openxmlformats.org/officeDocument/2006/relationships/hyperlink" Id="rId50" Target="https://www.cdc.gov/rabies/prevention/bats.html" TargetMode="External" /><Relationship Type="http://schemas.openxmlformats.org/officeDocument/2006/relationships/hyperlink" Id="rId37" Target="https://www.cdc.gov/rat-bite-fever/hcp/clinical-overview/index.html" TargetMode="External" /><Relationship Type="http://schemas.openxmlformats.org/officeDocument/2006/relationships/hyperlink" Id="rId26" Target="https://www.cdc.gov/tetanus/hcp/clinical-guidance/index.html" TargetMode="External" /><Relationship Type="http://schemas.openxmlformats.org/officeDocument/2006/relationships/hyperlink" Id="rId53" Target="https://www.cochrane.org/hr/evidence/CD001738_antibiotics-reducing-rate-infection-after-bites-mammals-such-humans" TargetMode="External" /><Relationship Type="http://schemas.openxmlformats.org/officeDocument/2006/relationships/hyperlink" Id="rId24" Target="https://www.idsociety.org/globalassets/idsa/practice-guidelines/practice-guidelines-for-the-diagnosis-and-management-of-skin-and-soft-tissue-infections-2014-update-by-the-infectious-diseases-society-of-america.pdf" TargetMode="External" /><Relationship Type="http://schemas.openxmlformats.org/officeDocument/2006/relationships/hyperlink" Id="rId38" Target="https://www.merckmanuals.com/professional/injuries-poisoning/bites-and-stings/human-and-mammal-bites" TargetMode="External" /><Relationship Type="http://schemas.openxmlformats.org/officeDocument/2006/relationships/hyperlink" Id="rId45" Target="https://www.msdmanuals.com/professional/injuries-poisoning/genitourinary-tract-trauma/genital-trauma" TargetMode="External" /><Relationship Type="http://schemas.openxmlformats.org/officeDocument/2006/relationships/hyperlink" Id="rId28" Target="https://www.who.int/data/gho/data/themes/topics/rabies" TargetMode="External" /><Relationship Type="http://schemas.openxmlformats.org/officeDocument/2006/relationships/hyperlink" Id="rId21" Target="https://www.who.int/teams/control-of-neglected-tropical-diseases/rabies/vaccinations-and-immuniz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2026-04-04T20:18:32Z</dcterms:created>
  <dcterms:modified xsi:type="dcterms:W3CDTF">2026-04-04T20:18:32Z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