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1" w:name="content"/>
    <w:bookmarkStart w:id="80" w:name="mosquitoborne-disease-disposition-engine"/>
    <w:p>
      <w:pPr>
        <w:pStyle w:val="Heading1"/>
      </w:pPr>
      <w:r>
        <w:t xml:space="preserve">Mosquito‑Borne Disease Disposition Engine</w:t>
      </w:r>
    </w:p>
    <w:bookmarkStart w:id="35" w:name="X074ec56fb657dd2cfce85ce291cf5aa76445b32"/>
    <w:p>
      <w:pPr>
        <w:pStyle w:val="Heading2"/>
      </w:pPr>
      <w:r>
        <w:t xml:space="preserve">Evidence base, tier definitions, and decision principles</w:t>
      </w:r>
    </w:p>
    <w:p>
      <w:pPr>
        <w:pStyle w:val="FirstParagraph"/>
      </w:pPr>
      <w:r>
        <w:t xml:space="preserve">Primary sources for time‑sensitive and high‑severity dispositions include guidance and fact sheets from the World Health Organization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(WHO), the Centers for Disease Control and Prevention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(CDC), the Public Health Agency of Canada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(PHAC) including its Committee to Advise on Tropical Medicine and Travel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(CATMAT), plus outbreak surveillance sources such as the European Centre for Disease Prevention and Control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Mosquito‑borne disposition logic must explicitly separate: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Plausibility of transmission</w:t>
      </w:r>
      <w:r>
        <w:t xml:space="preserve"> </w:t>
      </w:r>
      <w:r>
        <w:t xml:space="preserve">(mosquito exposure + geography + season/outbreak context) from</w:t>
      </w:r>
      <w:r>
        <w:t xml:space="preserve"> </w:t>
      </w:r>
      <w:r>
        <w:rPr>
          <w:b/>
          <w:bCs/>
        </w:rPr>
        <w:t xml:space="preserve">probability of disease</w:t>
      </w:r>
      <w:r>
        <w:t xml:space="preserve"> </w:t>
      </w:r>
      <w:r>
        <w:t xml:space="preserve">(often low per individual bite but meaningfully altered by geography/outbreak activity).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Severity if missed</w:t>
      </w:r>
      <w:r>
        <w:t xml:space="preserve"> </w:t>
      </w:r>
      <w:r>
        <w:t xml:space="preserve">(e.g.,</w:t>
      </w:r>
      <w:r>
        <w:t xml:space="preserve"> </w:t>
      </w:r>
      <w:r>
        <w:rPr>
          <w:i/>
          <w:iCs/>
        </w:rPr>
        <w:t xml:space="preserve">Plasmodium falciparum</w:t>
      </w:r>
      <w:r>
        <w:t xml:space="preserve"> </w:t>
      </w:r>
      <w:r>
        <w:t xml:space="preserve">malaria can progress to severe illness and death without prompt treatment; multiple arboviruses can cause neuroinvasive disease requiring hospitalization).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Time‑sensitive intervention</w:t>
      </w:r>
      <w:r>
        <w:t xml:space="preserve"> </w:t>
      </w:r>
      <w:r>
        <w:t xml:space="preserve">(e.g., malaria requires urgent testing/treatment; dengue requires close monitoring in the critical phase; rashes/arthralgias without warning signs are often outpatient).</w:t>
      </w:r>
      <w:r>
        <w:t xml:space="preserve"> </w:t>
      </w:r>
      <w:hyperlink r:id="rId22">
        <w:r>
          <w:rPr>
            <w:rStyle w:val="Hyperlink"/>
          </w:rPr>
          <w:t xml:space="preserve">[9]</w:t>
        </w:r>
      </w:hyperlink>
    </w:p>
    <w:bookmarkStart w:id="34" w:name="X6bf321ccf55294d0584c054ce9cb3f5ea51a4bb"/>
    <w:p>
      <w:pPr>
        <w:pStyle w:val="Heading3"/>
      </w:pPr>
      <w:r>
        <w:t xml:space="preserve">Standardized disposition tiers for this engine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Operational meaning (public + clinician)</w:t>
            </w:r>
          </w:p>
        </w:tc>
        <w:tc>
          <w:tcPr/>
          <w:p>
            <w:pPr>
              <w:pStyle w:val="Compact"/>
            </w:pPr>
            <w:r>
              <w:t xml:space="preserve">Typical examples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Emergency care</w:t>
            </w:r>
          </w:p>
        </w:tc>
        <w:tc>
          <w:tcPr/>
          <w:p>
            <w:pPr>
              <w:pStyle w:val="Compact"/>
            </w:pPr>
            <w:r>
              <w:t xml:space="preserve">Immediate ED‑level assessment needed now due to high risk of rapid deterioration, organ failure, CNS involvement, shock, or high‑consequence travel fever</w:t>
            </w:r>
          </w:p>
        </w:tc>
        <w:tc>
          <w:tcPr/>
          <w:p>
            <w:pPr>
              <w:pStyle w:val="Compact"/>
            </w:pPr>
            <w:r>
              <w:t xml:space="preserve">Fever after malaria‑risk travel (default), shock or major bleeding, confusion/seizures/neck stiffness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Urgent same‑day / immediate assessment</w:t>
            </w:r>
          </w:p>
        </w:tc>
        <w:tc>
          <w:tcPr/>
          <w:p>
            <w:pPr>
              <w:pStyle w:val="Compact"/>
            </w:pPr>
            <w:r>
              <w:t xml:space="preserve">Requires same‑day clinician assessment because early supportive care and monitoring changes outcomes, or severe disease is plausible</w:t>
            </w:r>
          </w:p>
        </w:tc>
        <w:tc>
          <w:tcPr/>
          <w:p>
            <w:pPr>
              <w:pStyle w:val="Compact"/>
            </w:pPr>
            <w:r>
              <w:t xml:space="preserve">Dengue warning signs; severe dehydration; severe abdominal pain; “toxic” or haemorrhagic syndrome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Routine medical assessment</w:t>
            </w:r>
          </w:p>
        </w:tc>
        <w:tc>
          <w:tcPr/>
          <w:p>
            <w:pPr>
              <w:pStyle w:val="Compact"/>
            </w:pPr>
            <w:r>
              <w:t xml:space="preserve">Not usually minutes‑to‑hours critical, but medical evaluation is recommended (testing, counselling, pregnancy pathways, travel medicine decisions)</w:t>
            </w:r>
          </w:p>
        </w:tc>
        <w:tc>
          <w:tcPr/>
          <w:p>
            <w:pPr>
              <w:pStyle w:val="Compact"/>
            </w:pPr>
            <w:r>
              <w:t xml:space="preserve">Pregnant person with plausible Zika exposure/symptoms; persistent post‑travel febrile illness without red flags; travel vaccine/chemoprophylaxis review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Self‑care + monitoring</w:t>
            </w:r>
          </w:p>
        </w:tc>
        <w:tc>
          <w:tcPr/>
          <w:p>
            <w:pPr>
              <w:pStyle w:val="Compact"/>
            </w:pPr>
            <w:r>
              <w:t xml:space="preserve">Supportive home care and symptom surveillance; clear return precautions</w:t>
            </w:r>
          </w:p>
        </w:tc>
        <w:tc>
          <w:tcPr/>
          <w:p>
            <w:pPr>
              <w:pStyle w:val="Compact"/>
            </w:pPr>
            <w:r>
              <w:t xml:space="preserve">Uncomplicated febrile dengue‑like illness without warning signs and reliable follow‑up; uncomplicated West Nile “fever” without neuro signs (clinician judgement)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 meaningful risk / reassurance</w:t>
            </w:r>
          </w:p>
        </w:tc>
        <w:tc>
          <w:tcPr/>
          <w:p>
            <w:pPr>
              <w:pStyle w:val="Compact"/>
            </w:pPr>
            <w:r>
              <w:t xml:space="preserve">Exposure has no immediate medical actionability when asymptomatic; emphasize prevention</w:t>
            </w:r>
          </w:p>
        </w:tc>
        <w:tc>
          <w:tcPr/>
          <w:p>
            <w:pPr>
              <w:pStyle w:val="Compact"/>
            </w:pPr>
            <w:r>
              <w:t xml:space="preserve">Mosquito bites in low‑risk setting with no systemic symptoms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[14]</w:t>
              </w:r>
            </w:hyperlink>
          </w:p>
        </w:tc>
      </w:tr>
    </w:tbl>
    <w:bookmarkEnd w:id="34"/>
    <w:bookmarkEnd w:id="35"/>
    <w:bookmarkStart w:id="68" w:name="X1328fce846479adeeb534e460129770067fe6e0"/>
    <w:p>
      <w:pPr>
        <w:pStyle w:val="Heading2"/>
      </w:pPr>
      <w:r>
        <w:t xml:space="preserve">Output 1: Mosquito‑borne disease actionability matrix</w:t>
      </w:r>
    </w:p>
    <w:p>
      <w:pPr>
        <w:pStyle w:val="FirstParagraph"/>
      </w:pPr>
      <w:r>
        <w:t xml:space="preserve">This matrix is engineered so each disease row can map to: (a) exposure‑only counselling, (b) syndrome‑based escalation triggers, and (c) time‑sensitive actions.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</w:t>
            </w:r>
          </w:p>
        </w:tc>
        <w:tc>
          <w:tcPr/>
          <w:p>
            <w:pPr>
              <w:pStyle w:val="Compact"/>
            </w:pPr>
            <w:r>
              <w:t xml:space="preserve">Exposure relevance (geography/outbreak/season)</w:t>
            </w:r>
          </w:p>
        </w:tc>
        <w:tc>
          <w:tcPr/>
          <w:p>
            <w:pPr>
              <w:pStyle w:val="Compact"/>
            </w:pPr>
            <w:r>
              <w:t xml:space="preserve">Incubation period</w:t>
            </w:r>
          </w:p>
        </w:tc>
        <w:tc>
          <w:tcPr/>
          <w:p>
            <w:pPr>
              <w:pStyle w:val="Compact"/>
            </w:pPr>
            <w:r>
              <w:t xml:space="preserve">Early syndrome pattern</w:t>
            </w:r>
          </w:p>
        </w:tc>
        <w:tc>
          <w:tcPr/>
          <w:p>
            <w:pPr>
              <w:pStyle w:val="Compact"/>
            </w:pPr>
            <w:r>
              <w:t xml:space="preserve">Severe warning signs / severe phenotype</w:t>
            </w:r>
          </w:p>
        </w:tc>
        <w:tc>
          <w:tcPr/>
          <w:p>
            <w:pPr>
              <w:pStyle w:val="Compact"/>
            </w:pPr>
            <w:r>
              <w:t xml:space="preserve">Post‑exposure actionability (asymptomatic)</w:t>
            </w:r>
          </w:p>
        </w:tc>
        <w:tc>
          <w:tcPr/>
          <w:p>
            <w:pPr>
              <w:pStyle w:val="Compact"/>
            </w:pPr>
            <w:r>
              <w:t xml:space="preserve">Time‑sensitive actions once symptomatic</w:t>
            </w:r>
          </w:p>
        </w:tc>
        <w:tc>
          <w:tcPr/>
          <w:p>
            <w:pPr>
              <w:pStyle w:val="Compact"/>
            </w:pPr>
            <w:r>
              <w:t xml:space="preserve">Evidence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Malaria</w:t>
            </w:r>
            <w:r>
              <w:t xml:space="preserve"> </w:t>
            </w:r>
            <w:r>
              <w:t xml:space="preserve">(esp.</w:t>
            </w:r>
            <w:r>
              <w:t xml:space="preserve"> </w:t>
            </w:r>
            <w:r>
              <w:rPr>
                <w:i/>
                <w:iCs/>
              </w:rPr>
              <w:t xml:space="preserve">P. falciparum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Travel/ residence in malaria‑risk regions; not endemic in Canada</w:t>
            </w:r>
            <w:hyperlink r:id="rId36">
              <w:r>
                <w:rPr>
                  <w:rStyle w:val="Hyperlink"/>
                </w:rPr>
                <w:t xml:space="preserve">[15]</w:t>
              </w:r>
            </w:hyperlink>
            <w:r>
              <w:t xml:space="preserve"> </w:t>
            </w:r>
            <w:r>
              <w:t xml:space="preserve">(Canadian cases are travel‑associated).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Most cases 7–30 days; symptoms can occur as early as 7 days and as late as months after exposure.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 with “flu‑like” symptoms (chills, headache, myalgias, malaise); can be atypical if prophylaxis used.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Severe malaria: confusion, seizures, difficulty breathing/respiratory distress, kidney failure, coma, death. WHO: if</w:t>
            </w:r>
            <w:r>
              <w:t xml:space="preserve"> </w:t>
            </w:r>
            <w:r>
              <w:rPr>
                <w:i/>
                <w:iCs/>
              </w:rPr>
              <w:t xml:space="preserve">falciparum</w:t>
            </w:r>
            <w:r>
              <w:t xml:space="preserve"> </w:t>
            </w:r>
            <w:r>
              <w:t xml:space="preserve">malaria is not treated within 24 hours it can progress to severe illness and death.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true “post‑bite PEP.”</w:t>
            </w:r>
            <w:r>
              <w:t xml:space="preserve"> </w:t>
            </w:r>
            <w:r>
              <w:t xml:space="preserve">Actionability is prevention (chemoprophylaxis before/during travel; continue after travel per regimen) and strict fever vigilance. Fever after travel requires urgent testing even if prophylaxis was taken.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Disposition driver:</w:t>
            </w:r>
            <w:r>
              <w:t xml:space="preserve"> </w:t>
            </w:r>
            <w:r>
              <w:t xml:space="preserve">fever after malaria‑risk travel is a medical emergency assessment until malaria ruled out. CATMAT recommends immediate medical attention for unexplained fever within 1 year of returning, regardless of prophylaxis; &gt;90% falciparum manifests within 3 months.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Dengue</w:t>
            </w:r>
          </w:p>
        </w:tc>
        <w:tc>
          <w:tcPr/>
          <w:p>
            <w:pPr>
              <w:pStyle w:val="Compact"/>
            </w:pPr>
            <w:r>
              <w:t xml:space="preserve">Travel to dengue‑risk regions; PHAC notes imported cases in Canada and recommends bite prevention; outbreak context materially increases probability.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WHO: symptoms usually begin 4–10 days after infection. CDC: typical 5–7 days.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Abrupt fever; prominent headache, myalgias/arthralgias, nausea/vomiting, rash.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phase</w:t>
            </w:r>
            <w:r>
              <w:t xml:space="preserve"> </w:t>
            </w:r>
            <w:r>
              <w:t xml:space="preserve">begins at defervescence and lasts ~24–48h; warning signs: abdominal pain/tenderness, persistent vomiting, clinical fluid accumulation, mucosal bleeding, lethargy/restlessness, liver enlargement. Patients with warning signs can deteriorate within hours.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post‑exposure medication. Exposure‑only actionability is prevention + monitoring. (Vaccine not available in Canada; available to travellers in some countries—policy‑dependent.)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Supportive care; avoid aspirin/NSAIDs due to anticoagulant effects; use acetaminophen;</w:t>
            </w:r>
            <w:r>
              <w:t xml:space="preserve"> </w:t>
            </w:r>
            <w:r>
              <w:rPr>
                <w:b/>
                <w:bCs/>
              </w:rPr>
              <w:t xml:space="preserve">urgent assessment</w:t>
            </w:r>
            <w:r>
              <w:t xml:space="preserve"> </w:t>
            </w:r>
            <w:r>
              <w:t xml:space="preserve">for warning signs and close monitoring during critical phase. Recognizing shock early and IV fluids reduces mortality in severe dengue.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Chikungunya</w:t>
            </w:r>
          </w:p>
        </w:tc>
        <w:tc>
          <w:tcPr/>
          <w:p>
            <w:pPr>
              <w:pStyle w:val="Compact"/>
            </w:pPr>
            <w:r>
              <w:t xml:space="preserve">Travel to areas with ongoing transmission; outbreaks occur and increase risk. Canadian professional guidance exists; outbreak assessment via travel health notices is recommended.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CDC: typically 3–7 days (range 1–12). WHO: onset typically 4–8 days (range 2–12).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Sudden high fever and severe arthralgia (often polyarticular) ± rash, headache, myalgia. Persistent arthralgia can last months/years.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Severe disease is uncommon but can include organ complications; higher risk groups include newborns infected around time of birth, older adults, and people with comorbidities.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Pre‑exposure vaccination may be relevant:</w:t>
            </w:r>
            <w:r>
              <w:t xml:space="preserve"> </w:t>
            </w:r>
            <w:r>
              <w:t xml:space="preserve">CATMAT guidance (Canada) describes use of chikungunya live attenuated vaccine (IXCHIQ) for selected travellers (primarily outbreak‑linked, individualized). Not advised for ≥65; contraindicated scenarios include pregnancy/immunodeficiency.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specific antiviral. Disposition is symptom‑severity driven; urgent assessment if severe systemic illness, neurologic symptoms, pregnancy near delivery with acute illness (neonatal risk), or inability to maintain hydration.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Moderate–Strong (clinical syndrome and risk groups strong; vaccine decision is context‑sensitive)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Zika</w:t>
            </w:r>
          </w:p>
        </w:tc>
        <w:tc>
          <w:tcPr/>
          <w:p>
            <w:pPr>
              <w:pStyle w:val="Compact"/>
            </w:pPr>
            <w:r>
              <w:t xml:space="preserve">Travel to areas with vector presence; outbreak status changes over time and must be dynamically sourced. Pregnancy is the major disposition modifier.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Often within days–2 weeks (commonly described ~3–14 days).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Often mild: rash, low‑grade fever, arthralgia, conjunctivitis; many infections asymptomatic.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Main “severe outcome” is</w:t>
            </w:r>
            <w:r>
              <w:t xml:space="preserve"> </w:t>
            </w:r>
            <w:r>
              <w:rPr>
                <w:b/>
                <w:bCs/>
              </w:rPr>
              <w:t xml:space="preserve">congenital infection</w:t>
            </w:r>
            <w:r>
              <w:t xml:space="preserve">: Zika infection in pregnancy can cause serious brain/eye birth defects and can occur even if the pregnant person had no symptoms. Higher risk with infection early in pregnancy.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post‑exposure medication.</w:t>
            </w:r>
            <w:r>
              <w:t xml:space="preserve"> </w:t>
            </w:r>
            <w:r>
              <w:rPr>
                <w:b/>
                <w:bCs/>
              </w:rPr>
              <w:t xml:space="preserve">Pregnancy pathways are actionable</w:t>
            </w:r>
            <w:r>
              <w:t xml:space="preserve"> </w:t>
            </w:r>
            <w:r>
              <w:t xml:space="preserve">(counselling/testing decisions; ultrasound surveillance when infection is confirmed/possible). Canada CATMAT notes limitations and recommends against routine testing of asymptomatic pregnant women in low‑risk context due to false positives.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Symptom‑based triage: pregnancy + compatible exposure/symptoms → prompt clinical assessment; neuro signs always override to Tier 1 (though neuroinvasive Zika is uncommon).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 for pregnancy implications; moderate for general outpatient triage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Yellow fever</w:t>
            </w:r>
          </w:p>
        </w:tc>
        <w:tc>
          <w:tcPr/>
          <w:p>
            <w:pPr>
              <w:pStyle w:val="Compact"/>
            </w:pPr>
            <w:r>
              <w:t xml:space="preserve">Travel to countries with risk of yellow fever transmission; vaccination status materially changes probability. Some countries require an international vaccination certificate for entry.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Incubation 3–6 days.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Initial nonspecific fever, headache, body aches, nausea/vomiting; many infections mild.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Severe disease in a minority with recurrence of high fever, jaundice, bleeding, shock and organ failure; WHO: ~50% of patients in severe phase die within 7–10 days.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Pre‑exposure vaccination is key.</w:t>
            </w:r>
            <w:r>
              <w:t xml:space="preserve"> </w:t>
            </w:r>
            <w:r>
              <w:t xml:space="preserve">International certificate valid beginning 10 days after vaccination; lifetime validity under IHR. (Not post‑bite.)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Symptom‑based: fever after travel to YF‑risk area with jaundice or bleeding → urgent/emergency evaluation; no specific antiviral (supportive care).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Japanese encephalitis</w:t>
            </w:r>
          </w:p>
        </w:tc>
        <w:tc>
          <w:tcPr/>
          <w:p>
            <w:pPr>
              <w:pStyle w:val="Compact"/>
            </w:pPr>
            <w:r>
              <w:t xml:space="preserve">Asia‑Pacific risk; traveller risk depends heavily on itinerary (rural exposure), season, duration, and vaccination status.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Typically 5–15 days.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Fever, headache, vomiting; can progress over days to neurologic disease.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Encephalitis with disorientation, weakness, coma; seizures common (esp. children). CDC Yellow Book: encephalitis case‑fatality ~20–30% and 30–50% have serious sequelae among survivors.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Pre‑exposure vaccination is relevant for selected travellers.</w:t>
            </w:r>
            <w:r>
              <w:t xml:space="preserve"> </w:t>
            </w:r>
            <w:r>
              <w:t xml:space="preserve">Canadian guidance highlights itinerary/season/activity risk stratification; CDC/ACIP does not recommend vaccine for very low‑risk itineraries (e.g., short urban travel/outside transmission season).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Any neurologic symptoms after travel exposure → emergency care; no specific antiviral.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West Nile virus</w:t>
            </w:r>
          </w:p>
        </w:tc>
        <w:tc>
          <w:tcPr/>
          <w:p>
            <w:pPr>
              <w:pStyle w:val="Compact"/>
            </w:pPr>
            <w:r>
              <w:t xml:space="preserve">Seasonal local risk in parts of Canada; PHAC monitors nationally and notes mosquitoes active spring–fall; WNV season mid‑April to November.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CDC: typically 2–6 days (range 2–14 days; can be longer in immunocompromised).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Often asymptomatic; can cause febrile illness (West Nile fever).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Neuroinvasive disease (meningitis/encephalitis/acute flaccid myelitis). CDC: seek immediate medical attention for high fever, neck stiffness, muscle weakness, confusion, tremors.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[50]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post‑exposure medication; prevention is bite avoidance; no human vaccine available.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Neuro symptoms → emergency; otherwise outpatient supportive care may be sufficient if no red flags and reliable follow‑up.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[50]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St. Louis encephalitis</w:t>
            </w:r>
          </w:p>
        </w:tc>
        <w:tc>
          <w:tcPr/>
          <w:p>
            <w:pPr>
              <w:pStyle w:val="Compact"/>
            </w:pPr>
            <w:r>
              <w:t xml:space="preserve">Primarily in the Americas; traveller/region dependent.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4–14 days.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[53]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Acute febrile illness or neurologic disease similar to WNV.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[53]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CDC: overall fatality ~5–20%; 5–10% have long‑term neurologic sequelae.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[54]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post‑exposure action; supportive care only.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Neuro symptoms → emergency; febrile illness without red flags → clinician assessment based on severity/age.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[56]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 (clinical/red‑flag disposition)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Eastern equine encephalitis</w:t>
            </w:r>
          </w:p>
        </w:tc>
        <w:tc>
          <w:tcPr/>
          <w:p>
            <w:pPr>
              <w:pStyle w:val="Compact"/>
            </w:pPr>
            <w:r>
              <w:t xml:space="preserve">Seasonal mosquito‑borne encephalitis risk in North America; PHAC surveillance includes EEE virus signals in Canada.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4–10 days (can be longer if immunocompromised).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Febrile illness or neurologic disease.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CDC: ~30% case fatality in severe disease; &gt;50% of survivors have neurologic sequelae.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post‑exposure action; no specific treatment.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Any suspected encephalitis/meningitis pattern → emergency.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Western equine encephalitis</w:t>
            </w:r>
          </w:p>
        </w:tc>
        <w:tc>
          <w:tcPr/>
          <w:p>
            <w:pPr>
              <w:pStyle w:val="Compact"/>
            </w:pPr>
            <w:r>
              <w:t xml:space="preserve">Rare in modern era but still disposition‑relevant as an encephalitis syndrome; regional.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CDC: 5–10 days.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Most infections asymptomatic; some develop febrile illness; neuroinvasive disease can occur.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[62]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Higher risk of severe disease in children ≤2 and adults &gt;60.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post‑exposure action; supportive care.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[63]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Neuro symptoms → emergency; otherwise severity‑based clinician assessment.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[64]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Moderate (rarity) / Strong (syndrome disposition)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Rift Valley fever</w:t>
            </w:r>
          </w:p>
        </w:tc>
        <w:tc>
          <w:tcPr/>
          <w:p>
            <w:pPr>
              <w:pStyle w:val="Compact"/>
            </w:pPr>
            <w:r>
              <w:t xml:space="preserve">Primarily Africa/Middle East outbreak contexts; most human infection from contact with blood/organs of infected animals; mosquito bites also a transmission route.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[65]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2–6 days.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[66]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Often asymptomatic or mild “flu‑like” fever with myalgia/arthralgia/headache; can mimic meningitis early.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[66]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Severe manifestations include ocular disease, meningoencephalitis, and haemorrhagic fever (rare but high consequence).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[67]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post‑exposure vaccine widely available; prevention is bite avoidance and avoiding animal blood/tissue exposures.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[68]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Haemorrhagic signs, jaundice/organ failure, or neurologic symptoms after compatible travel/exposure → emergency/urgent with infection‑control awareness.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[69]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Moderate (rarity in Canadian context) / high consequence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Regional examples</w:t>
            </w:r>
            <w:r>
              <w:t xml:space="preserve"> </w:t>
            </w:r>
            <w:r>
              <w:t xml:space="preserve">(algorithm should be extensible):</w:t>
            </w:r>
            <w:r>
              <w:t xml:space="preserve"> </w:t>
            </w:r>
            <w:r>
              <w:rPr>
                <w:b/>
                <w:bCs/>
              </w:rPr>
              <w:t xml:space="preserve">Murray Valley encephalitis</w:t>
            </w:r>
            <w:r>
              <w:t xml:space="preserve"> </w:t>
            </w:r>
            <w:r>
              <w:t xml:space="preserve">(Australia)</w:t>
            </w:r>
          </w:p>
        </w:tc>
        <w:tc>
          <w:tcPr/>
          <w:p>
            <w:pPr>
              <w:pStyle w:val="Compact"/>
            </w:pPr>
            <w:r>
              <w:t xml:space="preserve">Australia (especially certain regions/seasons); outbreaks can occur; neuro disease is disposition driver.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[70]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5–28 days.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[71]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Febrile illness → may progress quickly to encephalitis.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[72]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Confusion, increasing drowsiness, seizures in severe disease.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[72]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post‑exposure action; prevention is bite avoidance.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[73]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Neuro symptoms → emergency.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[74]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Regional examples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Ross River virus</w:t>
            </w:r>
            <w:r>
              <w:t xml:space="preserve"> </w:t>
            </w:r>
            <w:r>
              <w:t xml:space="preserve">(Australia)</w:t>
            </w:r>
          </w:p>
        </w:tc>
        <w:tc>
          <w:tcPr/>
          <w:p>
            <w:pPr>
              <w:pStyle w:val="Compact"/>
            </w:pPr>
            <w:r>
              <w:t xml:space="preserve">Australia; outbreaks occur; chronic post‑viral arthralgia can be prolonged.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[75]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Symptoms often develop ~7–10 days after bite.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[76]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 + rash + prominent joint pain; prolonged symptoms can last months.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[77]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Rare neurologic complications possible; disposition is mostly severity‑based.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[78]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post‑exposure action; supportive care.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[79]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Severe systemic illness or neurologic symptoms → urgent/emergency; otherwise routine care.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[80]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</w:tbl>
    <w:bookmarkEnd w:id="68"/>
    <w:bookmarkStart w:id="71" w:name="output-2-exposureonly-disposition-table"/>
    <w:p>
      <w:pPr>
        <w:pStyle w:val="Heading2"/>
      </w:pPr>
      <w:r>
        <w:t xml:space="preserve">Output 2: Exposure‑only disposition table</w:t>
      </w:r>
    </w:p>
    <w:p>
      <w:pPr>
        <w:pStyle w:val="FirstParagraph"/>
      </w:pPr>
      <w:r>
        <w:t xml:space="preserve">Assumptions: “Exposure‑only” means</w:t>
      </w:r>
      <w:r>
        <w:t xml:space="preserve"> </w:t>
      </w:r>
      <w:r>
        <w:rPr>
          <w:b/>
          <w:bCs/>
        </w:rPr>
        <w:t xml:space="preserve">mosquito bites with no systemic symptoms</w:t>
      </w:r>
      <w:r>
        <w:t xml:space="preserve">. In most mosquito‑borne diseases there is</w:t>
      </w:r>
      <w:r>
        <w:t xml:space="preserve"> </w:t>
      </w:r>
      <w:r>
        <w:rPr>
          <w:b/>
          <w:bCs/>
        </w:rPr>
        <w:t xml:space="preserve">no post‑bite medication</w:t>
      </w:r>
      <w:r>
        <w:t xml:space="preserve"> </w:t>
      </w:r>
      <w:r>
        <w:t xml:space="preserve">that prevents illness; the actionable elements are (a) prevention and (b) symptom surveillance. The main exception in counselling is malaria: chemoprophylaxis is preventive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eliminate risk, so fever vigilance remains critical even when prophylaxis was used.</w:t>
      </w:r>
      <w:r>
        <w:t xml:space="preserve"> </w:t>
      </w:r>
      <w:hyperlink r:id="rId22">
        <w:r>
          <w:rPr>
            <w:rStyle w:val="Hyperlink"/>
          </w:rPr>
          <w:t xml:space="preserve">[81]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Exposure‑only scenario (no symptoms)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Recommended actions (engine output)</w:t>
            </w:r>
          </w:p>
        </w:tc>
        <w:tc>
          <w:tcPr/>
          <w:p>
            <w:pPr>
              <w:pStyle w:val="Compact"/>
            </w:pPr>
            <w:r>
              <w:t xml:space="preserve">Monitoring window for symptom onset</w:t>
            </w:r>
          </w:p>
        </w:tc>
        <w:tc>
          <w:tcPr/>
          <w:p>
            <w:pPr>
              <w:pStyle w:val="Compact"/>
            </w:pPr>
            <w:r>
              <w:t xml:space="preserve">Modifiers that change tier</w:t>
            </w:r>
          </w:p>
        </w:tc>
        <w:tc>
          <w:tcPr/>
          <w:p>
            <w:pPr>
              <w:pStyle w:val="Compact"/>
            </w:pPr>
            <w:r>
              <w:t xml:space="preserve">Evidence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Mosquito bites in Canada during typical mosquito season, well (no fever)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Reassure; advise mosquito bite prevention; no testing or treatment; provide “return if fever/neuro symptoms”</w:t>
            </w:r>
          </w:p>
        </w:tc>
        <w:tc>
          <w:tcPr/>
          <w:p>
            <w:pPr>
              <w:pStyle w:val="Compact"/>
            </w:pPr>
            <w:r>
              <w:t xml:space="preserve">2–14 days for WNV-type febrile/neuro syndromes</w:t>
            </w:r>
          </w:p>
        </w:tc>
        <w:tc>
          <w:tcPr/>
          <w:p>
            <w:pPr>
              <w:pStyle w:val="Compact"/>
            </w:pPr>
            <w:r>
              <w:t xml:space="preserve">Immunocompromised/older age → lower threshold for clinician call if fever develops</w:t>
            </w:r>
          </w:p>
        </w:tc>
        <w:tc>
          <w:tcPr/>
          <w:p>
            <w:pPr>
              <w:pStyle w:val="Compact"/>
            </w:pPr>
            <w:r>
              <w:t xml:space="preserve">PHAC notes mosquitoes active spring–fall; WNV incubation range 2–14 days (can be longer in immunocompromised).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[82]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Mosquito bites in Canada outside mosquito season, well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Reassure; prevention advice only</w:t>
            </w:r>
          </w:p>
        </w:tc>
        <w:tc>
          <w:tcPr/>
          <w:p>
            <w:pPr>
              <w:pStyle w:val="Compact"/>
            </w:pPr>
            <w:r>
              <w:t xml:space="preserve">N/A (probability very low)</w:t>
            </w:r>
          </w:p>
        </w:tc>
        <w:tc>
          <w:tcPr/>
          <w:p>
            <w:pPr>
              <w:pStyle w:val="Compact"/>
            </w:pPr>
            <w:r>
              <w:t xml:space="preserve">Immunocompromise does not create risk without exposure</w:t>
            </w:r>
          </w:p>
        </w:tc>
        <w:tc>
          <w:tcPr/>
          <w:p>
            <w:pPr>
              <w:pStyle w:val="Compact"/>
            </w:pPr>
            <w:r>
              <w:t xml:space="preserve">PHAC describes seasonal activity and monitoring during transmission season.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[47]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Mosquito bites while currently travelling in a malaria‑risk region; not on chemoprophylaxis; still has days remaining in risk 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Travel medicine / clinician assessment to start appropriate chemoprophylaxis for ongoing exposure + reinforce bite prevention; emphasize fever emergency rule</w:t>
            </w:r>
          </w:p>
        </w:tc>
        <w:tc>
          <w:tcPr/>
          <w:p>
            <w:pPr>
              <w:pStyle w:val="Compact"/>
            </w:pPr>
            <w:r>
              <w:t xml:space="preserve">Fever can occur during travel or up to 1 year after return</w:t>
            </w:r>
          </w:p>
        </w:tc>
        <w:tc>
          <w:tcPr/>
          <w:p>
            <w:pPr>
              <w:pStyle w:val="Compact"/>
            </w:pPr>
            <w:r>
              <w:t xml:space="preserve">Pregnancy/infants/young children → stronger counselling and lower threshold for urgent assessment if any symptoms</w:t>
            </w:r>
          </w:p>
        </w:tc>
        <w:tc>
          <w:tcPr/>
          <w:p>
            <w:pPr>
              <w:pStyle w:val="Compact"/>
            </w:pPr>
            <w:r>
              <w:t xml:space="preserve">CATMAT/CDC describe malaria prevention by geographic area and recommend seeking care immediately if fever occurs regardless of chemoprophylaxis status.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[83]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Mosquito bites while travelling in malaria‑risk region; taking chemoprophylaxis as prescribed; well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Continue prophylaxis exactly as prescribed; strict bite prevention; provide emergency fever rule</w:t>
            </w:r>
          </w:p>
        </w:tc>
        <w:tc>
          <w:tcPr/>
          <w:p>
            <w:pPr>
              <w:pStyle w:val="Compact"/>
            </w:pPr>
            <w:r>
              <w:t xml:space="preserve">Up to 1 year after return (highest concern within 3 months for falciparum)</w:t>
            </w:r>
          </w:p>
        </w:tc>
        <w:tc>
          <w:tcPr/>
          <w:p>
            <w:pPr>
              <w:pStyle w:val="Compact"/>
            </w:pPr>
            <w:r>
              <w:t xml:space="preserve">Non‑adherence/early discontinuation → higher risk; pregnancy/infant → lower symptom threshold</w:t>
            </w:r>
          </w:p>
        </w:tc>
        <w:tc>
          <w:tcPr/>
          <w:p>
            <w:pPr>
              <w:pStyle w:val="Compact"/>
            </w:pPr>
            <w:r>
              <w:t xml:space="preserve">CATMAT: fever up to 1 year → immediate attention; CDC: prophylaxis not 100% effective.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[81]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Returned from malaria‑risk travel; no symptoms but worried because of many bites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 testing if well; provide malaria “fever within 1 year = urgent testing” instructions; complete prophylaxis course if still within post‑travel dosing period</w:t>
            </w:r>
          </w:p>
        </w:tc>
        <w:tc>
          <w:tcPr/>
          <w:p>
            <w:pPr>
              <w:pStyle w:val="Compact"/>
            </w:pPr>
            <w:r>
              <w:t xml:space="preserve">Up to 1 year after return (priority within 3 months for falciparum)</w:t>
            </w:r>
          </w:p>
        </w:tc>
        <w:tc>
          <w:tcPr/>
          <w:p>
            <w:pPr>
              <w:pStyle w:val="Compact"/>
            </w:pPr>
            <w:r>
              <w:t xml:space="preserve">Immunocompromised, pregnancy, very young/older → reinforce low threshold for care with any fever</w:t>
            </w:r>
          </w:p>
        </w:tc>
        <w:tc>
          <w:tcPr/>
          <w:p>
            <w:pPr>
              <w:pStyle w:val="Compact"/>
            </w:pPr>
            <w:r>
              <w:t xml:space="preserve">CATMAT recommends immediate medical attention for unexplained fever within 1 year regardless of prophylaxis; guidance stresses travellers should be informed of this.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[84]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Mosquito bites in a dengue‑risk region during a documented outbreak (per current travel health notice sources), well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 post‑bite medication; strict bite prevention; 14‑day symptom watch; counsel on avoiding NSAIDs if fever develops until dengue assessed</w:t>
            </w:r>
          </w:p>
        </w:tc>
        <w:tc>
          <w:tcPr/>
          <w:p>
            <w:pPr>
              <w:pStyle w:val="Compact"/>
            </w:pPr>
            <w:r>
              <w:t xml:space="preserve">About 2 weeks</w:t>
            </w:r>
          </w:p>
        </w:tc>
        <w:tc>
          <w:tcPr/>
          <w:p>
            <w:pPr>
              <w:pStyle w:val="Compact"/>
            </w:pPr>
            <w:r>
              <w:t xml:space="preserve">Prior dengue infection increases risk of severe dengue if reinfected; comorbidities → lower threshold if symptoms appear</w:t>
            </w:r>
          </w:p>
        </w:tc>
        <w:tc>
          <w:tcPr/>
          <w:p>
            <w:pPr>
              <w:pStyle w:val="Compact"/>
            </w:pPr>
            <w:r>
              <w:t xml:space="preserve">Canada travel notice highlights outbreak risk and notes prior dengue infection raises severe disease risk; CDC/WHO provide incubation and warning sign framework.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[85]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Mosquito bites in a dengue‑risk region, well, but leaving in 48 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Same as above; focus on symptom watch after travel</w:t>
            </w:r>
          </w:p>
        </w:tc>
        <w:tc>
          <w:tcPr/>
          <w:p>
            <w:pPr>
              <w:pStyle w:val="Compact"/>
            </w:pPr>
            <w:r>
              <w:t xml:space="preserve">2 weeks after bite</w:t>
            </w:r>
          </w:p>
        </w:tc>
        <w:tc>
          <w:tcPr/>
          <w:p>
            <w:pPr>
              <w:pStyle w:val="Compact"/>
            </w:pPr>
            <w:r>
              <w:t xml:space="preserve">If fever develops, escalate per symptom table</w:t>
            </w:r>
          </w:p>
        </w:tc>
        <w:tc>
          <w:tcPr/>
          <w:p>
            <w:pPr>
              <w:pStyle w:val="Compact"/>
            </w:pPr>
            <w:r>
              <w:t xml:space="preserve">WHO incubation timing and CDC warning sign framework guide monitoring window and escalation.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[86]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Pregnant person: mosquito bites in Zika‑risk area (no symptoms)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Routine clinical consultation for pregnancy‑specific counselling; testing strategy depends on local epidemiology and guideline context; reinforce bite prevention and follow-up plan</w:t>
            </w:r>
          </w:p>
        </w:tc>
        <w:tc>
          <w:tcPr/>
          <w:p>
            <w:pPr>
              <w:pStyle w:val="Compact"/>
            </w:pPr>
            <w:r>
              <w:t xml:space="preserve">2–3 weeks for maternal symptoms; fetal implications extend beyond acute symptoms</w:t>
            </w:r>
          </w:p>
        </w:tc>
        <w:tc>
          <w:tcPr/>
          <w:p>
            <w:pPr>
              <w:pStyle w:val="Compact"/>
            </w:pPr>
            <w:r>
              <w:t xml:space="preserve">First/second trimester exposure raises concern; if symptoms occur, escalate</w:t>
            </w:r>
          </w:p>
        </w:tc>
        <w:tc>
          <w:tcPr/>
          <w:p>
            <w:pPr>
              <w:pStyle w:val="Compact"/>
            </w:pPr>
            <w:r>
              <w:t xml:space="preserve">CDC: congenital effects can occur whether or not pregnant person had symptoms; CATMAT notes against routine testing of asymptomatic pregnant women in low-risk contexts due to false positives.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[87]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Non‑pregnant person: mosquito bites in Zika‑risk area (no symptoms)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5–4</w:t>
            </w:r>
          </w:p>
        </w:tc>
        <w:tc>
          <w:tcPr/>
          <w:p>
            <w:pPr>
              <w:pStyle w:val="Compact"/>
            </w:pPr>
            <w:r>
              <w:t xml:space="preserve">Usually reassurance + prevention; advise symptom watch; pregnancy planning considerations are outside this engine unless included</w:t>
            </w:r>
          </w:p>
        </w:tc>
        <w:tc>
          <w:tcPr/>
          <w:p>
            <w:pPr>
              <w:pStyle w:val="Compact"/>
            </w:pPr>
            <w:r>
              <w:t xml:space="preserve">~2 weeks</w:t>
            </w:r>
          </w:p>
        </w:tc>
        <w:tc>
          <w:tcPr/>
          <w:p>
            <w:pPr>
              <w:pStyle w:val="Compact"/>
            </w:pPr>
            <w:r>
              <w:t xml:space="preserve">If pregnancy possible/trying to conceive → consider routing to reproductive/travel counselling module</w:t>
            </w:r>
          </w:p>
        </w:tc>
        <w:tc>
          <w:tcPr/>
          <w:p>
            <w:pPr>
              <w:pStyle w:val="Compact"/>
            </w:pPr>
            <w:r>
              <w:t xml:space="preserve">Zika travel‑risk status is dynamic; WHO/CDC maintain travel updates.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[88]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Unvaccinated traveller bitten in yellow‑fever risk area but currently asymptomatic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 post‑bite prophylaxis; symptom watch for 1 week; provide “jaundice/bleeding = emergency” return precautions; for future travel, vaccination planning is critical</w:t>
            </w:r>
          </w:p>
        </w:tc>
        <w:tc>
          <w:tcPr/>
          <w:p>
            <w:pPr>
              <w:pStyle w:val="Compact"/>
            </w:pPr>
            <w:r>
              <w:t xml:space="preserve">6 days (incubation) is a key window for symptom onset</w:t>
            </w:r>
          </w:p>
        </w:tc>
        <w:tc>
          <w:tcPr/>
          <w:p>
            <w:pPr>
              <w:pStyle w:val="Compact"/>
            </w:pPr>
            <w:r>
              <w:t xml:space="preserve">Immunocompromise/pregnancy/infants → clinician counselling about vaccine contraindications/waivers (pre‑travel module)</w:t>
            </w:r>
          </w:p>
        </w:tc>
        <w:tc>
          <w:tcPr/>
          <w:p>
            <w:pPr>
              <w:pStyle w:val="Compact"/>
            </w:pPr>
            <w:r>
              <w:t xml:space="preserve">WHO: incubation 3–6 days and severe phase high fatality; vaccine protects starting ~10 days post‑vaccination (not post‑bite).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[89]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Traveller in JE‑risk region, unvaccinated, no symptoms, short urban trip outside transmission season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5–4</w:t>
            </w:r>
          </w:p>
        </w:tc>
        <w:tc>
          <w:tcPr/>
          <w:p>
            <w:pPr>
              <w:pStyle w:val="Compact"/>
            </w:pPr>
            <w:r>
              <w:t xml:space="preserve">Reassure; bite prevention; no medical action unless symptoms develop</w:t>
            </w:r>
          </w:p>
        </w:tc>
        <w:tc>
          <w:tcPr/>
          <w:p>
            <w:pPr>
              <w:pStyle w:val="Compact"/>
            </w:pPr>
            <w:r>
              <w:t xml:space="preserve">~2 weeks</w:t>
            </w:r>
          </w:p>
        </w:tc>
        <w:tc>
          <w:tcPr/>
          <w:p>
            <w:pPr>
              <w:pStyle w:val="Compact"/>
            </w:pPr>
            <w:r>
              <w:t xml:space="preserve">If itinerary shifts to rural/outdoor/long duration or uncertainty about itinerary → pre‑travel vaccine counselling recommended</w:t>
            </w:r>
          </w:p>
        </w:tc>
        <w:tc>
          <w:tcPr/>
          <w:p>
            <w:pPr>
              <w:pStyle w:val="Compact"/>
            </w:pPr>
            <w:r>
              <w:t xml:space="preserve">CDC/ACIP does not recommend JE vaccine for very low‑risk itineraries; risk depends on season/location/duration.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[90]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Traveller in chikungunya outbreak area (per travel notice), no symptoms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Bite prevention; consider pre‑exposure vaccination only if not yet exposed/ongoing exposure expected and patient fits criteria (clinician travel module); symptom watch</w:t>
            </w:r>
          </w:p>
        </w:tc>
        <w:tc>
          <w:tcPr/>
          <w:p>
            <w:pPr>
              <w:pStyle w:val="Compact"/>
            </w:pPr>
            <w:r>
              <w:t xml:space="preserve">~2 weeks</w:t>
            </w:r>
          </w:p>
        </w:tc>
        <w:tc>
          <w:tcPr/>
          <w:p>
            <w:pPr>
              <w:pStyle w:val="Compact"/>
            </w:pPr>
            <w:r>
              <w:t xml:space="preserve">Age ≥65 or pregnancy/immunodeficiency affects vaccine suitability and risk‑benefit; shared decision‑making required</w:t>
            </w:r>
          </w:p>
        </w:tc>
        <w:tc>
          <w:tcPr/>
          <w:p>
            <w:pPr>
              <w:pStyle w:val="Compact"/>
            </w:pPr>
            <w:r>
              <w:t xml:space="preserve">CATMAT chikungunya vaccine guidance is outbreak‑linked and individualized; contraindications and age caution described.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[91]</w:t>
              </w:r>
            </w:hyperlink>
          </w:p>
        </w:tc>
      </w:tr>
    </w:tbl>
    <w:bookmarkEnd w:id="71"/>
    <w:bookmarkStart w:id="73" w:name="output-3-symptombased-urgency-table"/>
    <w:p>
      <w:pPr>
        <w:pStyle w:val="Heading2"/>
      </w:pPr>
      <w:r>
        <w:t xml:space="preserve">Output 3: Symptom‑based urgency table</w:t>
      </w:r>
    </w:p>
    <w:p>
      <w:pPr>
        <w:pStyle w:val="FirstParagraph"/>
      </w:pPr>
      <w:r>
        <w:t xml:space="preserve">This table starts from</w:t>
      </w:r>
      <w:r>
        <w:t xml:space="preserve"> </w:t>
      </w:r>
      <w:r>
        <w:rPr>
          <w:b/>
          <w:bCs/>
        </w:rPr>
        <w:t xml:space="preserve">syndrome patterns</w:t>
      </w:r>
      <w:r>
        <w:t xml:space="preserve">, because for mosquito‑borne illness triage in Canada and globally, symptoms + travel geography are more discriminating than a remembered mosquito bite (often unrecognized).</w:t>
      </w:r>
      <w:r>
        <w:t xml:space="preserve"> </w:t>
      </w:r>
      <w:hyperlink r:id="rId72">
        <w:r>
          <w:rPr>
            <w:rStyle w:val="Hyperlink"/>
          </w:rPr>
          <w:t xml:space="preserve">[92]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Syndrome pattern after mosquito exposure or travel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“Do‑not‑miss” hazards (not exhaustive)</w:t>
            </w:r>
          </w:p>
        </w:tc>
        <w:tc>
          <w:tcPr/>
          <w:p>
            <w:pPr>
              <w:pStyle w:val="Compact"/>
            </w:pPr>
            <w:r>
              <w:t xml:space="preserve">Timing / geography cues that increase likelihood</w:t>
            </w:r>
          </w:p>
        </w:tc>
        <w:tc>
          <w:tcPr/>
          <w:p>
            <w:pPr>
              <w:pStyle w:val="Compact"/>
            </w:pPr>
            <w:r>
              <w:t xml:space="preserve">Rationale for tier</w:t>
            </w:r>
          </w:p>
        </w:tc>
        <w:tc>
          <w:tcPr/>
          <w:p>
            <w:pPr>
              <w:pStyle w:val="Compact"/>
            </w:pPr>
            <w:r>
              <w:t xml:space="preserve">Core evidence basis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 fever</w:t>
            </w:r>
            <w:r>
              <w:t xml:space="preserve"> </w:t>
            </w:r>
            <w:r>
              <w:t xml:space="preserve">during travel in malaria‑risk region OR within 1 year after return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(default)</w:t>
            </w:r>
          </w:p>
        </w:tc>
        <w:tc>
          <w:tcPr/>
          <w:p>
            <w:pPr>
              <w:pStyle w:val="Compact"/>
            </w:pPr>
            <w:r>
              <w:t xml:space="preserve">Malaria (esp.</w:t>
            </w:r>
            <w:r>
              <w:t xml:space="preserve"> </w:t>
            </w:r>
            <w:r>
              <w:rPr>
                <w:i/>
                <w:iCs/>
              </w:rPr>
              <w:t xml:space="preserve">P. falciparum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Highest concern within 3 months (CATMAT: &gt;90% falciparum manifests in 3 months) but can occur later; prophylaxis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rule out malaria</w:t>
            </w:r>
          </w:p>
        </w:tc>
        <w:tc>
          <w:tcPr/>
          <w:p>
            <w:pPr>
              <w:pStyle w:val="Compact"/>
            </w:pPr>
            <w:r>
              <w:t xml:space="preserve">“Malaria until proven otherwise” logic for returned travellers: delays increase mortality; requires urgent testing and treatment</w:t>
            </w:r>
          </w:p>
        </w:tc>
        <w:tc>
          <w:tcPr/>
          <w:p>
            <w:pPr>
              <w:pStyle w:val="Compact"/>
            </w:pPr>
            <w:r>
              <w:t xml:space="preserve">CATMAT immediate attention within 1 year regardless of prophylaxis; CDC malaria guidance that prophylaxis is not 100% effective and fever requires immediate care/testing.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[93]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Fever +</w:t>
            </w:r>
            <w:r>
              <w:t xml:space="preserve"> </w:t>
            </w:r>
            <w:r>
              <w:rPr>
                <w:b/>
                <w:bCs/>
              </w:rPr>
              <w:t xml:space="preserve">confusion, seizure, stiff neck, weakness/paralysis, tremors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Neuroinvasive arboviruses: WNV, JE, EEE, SLE, WEE; other encephalitides</w:t>
            </w:r>
          </w:p>
        </w:tc>
        <w:tc>
          <w:tcPr/>
          <w:p>
            <w:pPr>
              <w:pStyle w:val="Compact"/>
            </w:pPr>
            <w:r>
              <w:t xml:space="preserve">Seasonal mosquito activity; travel to endemic regions; incubation typically days–2 weeks (MVE longer)</w:t>
            </w:r>
          </w:p>
        </w:tc>
        <w:tc>
          <w:tcPr/>
          <w:p>
            <w:pPr>
              <w:pStyle w:val="Compact"/>
            </w:pPr>
            <w:r>
              <w:t xml:space="preserve">High risk of meningitis/encephalitis/acute flaccid myelitis; requires hospital evaluation and supportive care</w:t>
            </w:r>
          </w:p>
        </w:tc>
        <w:tc>
          <w:tcPr/>
          <w:p>
            <w:pPr>
              <w:pStyle w:val="Compact"/>
            </w:pPr>
            <w:r>
              <w:t xml:space="preserve">CDC “seek immediate medical attention” for severe WNV symptoms; CDC encephalitis pages (EEE/SLE/WEE) emphasize severity and outcomes.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[94]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Fever +</w:t>
            </w:r>
            <w:r>
              <w:t xml:space="preserve"> </w:t>
            </w:r>
            <w:r>
              <w:rPr>
                <w:b/>
                <w:bCs/>
              </w:rPr>
              <w:t xml:space="preserve">jaundice</w:t>
            </w:r>
            <w:r>
              <w:t xml:space="preserve"> </w:t>
            </w:r>
            <w:r>
              <w:t xml:space="preserve">(yellow eyes/skin) ± bleeding or 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Yellow fever; severe malaria; RVF (severe); other non‑mosquito causes also possible (engine should still escalate)</w:t>
            </w:r>
          </w:p>
        </w:tc>
        <w:tc>
          <w:tcPr/>
          <w:p>
            <w:pPr>
              <w:pStyle w:val="Compact"/>
            </w:pPr>
            <w:r>
              <w:t xml:space="preserve">Yellow fever incubation 3–6 days after exposure; malaria within days–months; RVF incubation 2–6 days</w:t>
            </w:r>
          </w:p>
        </w:tc>
        <w:tc>
          <w:tcPr/>
          <w:p>
            <w:pPr>
              <w:pStyle w:val="Compact"/>
            </w:pPr>
            <w:r>
              <w:t xml:space="preserve">High risk of hepatic failure/haemorrhage or severe parasitemia; requires emergency evaluation</w:t>
            </w:r>
          </w:p>
        </w:tc>
        <w:tc>
          <w:tcPr/>
          <w:p>
            <w:pPr>
              <w:pStyle w:val="Compact"/>
            </w:pPr>
            <w:r>
              <w:t xml:space="preserve">WHO yellow fever severe phase and fatality; WHO malaria “treat within 24h” and severe symptom set; WHO RVF severe syndromes.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[95]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Fever +</w:t>
            </w:r>
            <w:r>
              <w:t xml:space="preserve"> </w:t>
            </w:r>
            <w:r>
              <w:rPr>
                <w:b/>
                <w:bCs/>
              </w:rPr>
              <w:t xml:space="preserve">haemorrhagic signs</w:t>
            </w:r>
            <w:r>
              <w:t xml:space="preserve"> </w:t>
            </w:r>
            <w:r>
              <w:t xml:space="preserve">(vomiting blood, black/bloody stool, significant mucosal bleeding, shock)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Severe dengue; yellow fever; RVF haemorrhagic syndrome (rare)</w:t>
            </w:r>
          </w:p>
        </w:tc>
        <w:tc>
          <w:tcPr/>
          <w:p>
            <w:pPr>
              <w:pStyle w:val="Compact"/>
            </w:pPr>
            <w:r>
              <w:t xml:space="preserve">Dengue warning signs often around defervescence; outbreak settings; incubation ~1 week</w:t>
            </w:r>
          </w:p>
        </w:tc>
        <w:tc>
          <w:tcPr/>
          <w:p>
            <w:pPr>
              <w:pStyle w:val="Compact"/>
            </w:pPr>
            <w:r>
              <w:t xml:space="preserve">Shock/major bleeding can develop within hours; needs fluids/blood products and intensive monitoring</w:t>
            </w:r>
          </w:p>
        </w:tc>
        <w:tc>
          <w:tcPr/>
          <w:p>
            <w:pPr>
              <w:pStyle w:val="Compact"/>
            </w:pPr>
            <w:r>
              <w:t xml:space="preserve">CDC dengue critical phase and warning signs; WHO yellow fever severe phase; WHO RVF severe syndromes.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[96]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Fever with</w:t>
            </w:r>
            <w:r>
              <w:t xml:space="preserve"> </w:t>
            </w:r>
            <w:r>
              <w:rPr>
                <w:b/>
                <w:bCs/>
              </w:rPr>
              <w:t xml:space="preserve">dengue warning signs</w:t>
            </w:r>
            <w:r>
              <w:t xml:space="preserve"> </w:t>
            </w:r>
            <w:r>
              <w:t xml:space="preserve">(severe abdominal pain/tenderness; persistent vomiting; mucosal bleeding; lethargy/restlessness; clinical fluid accumulation)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Dengue with warning signs / evolving severe dengue</w:t>
            </w:r>
          </w:p>
        </w:tc>
        <w:tc>
          <w:tcPr/>
          <w:p>
            <w:pPr>
              <w:pStyle w:val="Compact"/>
            </w:pPr>
            <w:r>
              <w:t xml:space="preserve">Critical phase begins at defervescence and lasts 24–48h</w:t>
            </w:r>
          </w:p>
        </w:tc>
        <w:tc>
          <w:tcPr/>
          <w:p>
            <w:pPr>
              <w:pStyle w:val="Compact"/>
            </w:pPr>
            <w:r>
              <w:t xml:space="preserve">Patients can deteriorate in hours; requires close monitoring and often IV fluids</w:t>
            </w:r>
          </w:p>
        </w:tc>
        <w:tc>
          <w:tcPr/>
          <w:p>
            <w:pPr>
              <w:pStyle w:val="Compact"/>
            </w:pPr>
            <w:r>
              <w:t xml:space="preserve">CDC dengue clinical signs and management; dengue case management pocket guide.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[97]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Fever + severe dehydration / cannot keep fluids down (any cause)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Dengue, chikungunya, malaria, other travel infections</w:t>
            </w:r>
          </w:p>
        </w:tc>
        <w:tc>
          <w:tcPr/>
          <w:p>
            <w:pPr>
              <w:pStyle w:val="Compact"/>
            </w:pPr>
            <w:r>
              <w:t xml:space="preserve">Dengue/chikungunya incubation typically within 2 weeks; malaria longer</w:t>
            </w:r>
          </w:p>
        </w:tc>
        <w:tc>
          <w:tcPr/>
          <w:p>
            <w:pPr>
              <w:pStyle w:val="Compact"/>
            </w:pPr>
            <w:r>
              <w:t xml:space="preserve">Dehydration and inability to maintain intake increases risk and reduces safety of home monitoring</w:t>
            </w:r>
          </w:p>
        </w:tc>
        <w:tc>
          <w:tcPr/>
          <w:p>
            <w:pPr>
              <w:pStyle w:val="Compact"/>
            </w:pPr>
            <w:r>
              <w:t xml:space="preserve">CDC dengue home care guidance emphasizes hydration and warning signs; dengue warning sign “persistent vomiting.”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[98]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Fever + severe myalgia/arthralgia without neuro signs or bleeding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3–2</w:t>
            </w:r>
          </w:p>
        </w:tc>
        <w:tc>
          <w:tcPr/>
          <w:p>
            <w:pPr>
              <w:pStyle w:val="Compact"/>
            </w:pPr>
            <w:r>
              <w:t xml:space="preserve">Chikungunya; dengue; other arboviruses (e.g., Ross River)</w:t>
            </w:r>
          </w:p>
        </w:tc>
        <w:tc>
          <w:tcPr/>
          <w:p>
            <w:pPr>
              <w:pStyle w:val="Compact"/>
            </w:pPr>
            <w:r>
              <w:t xml:space="preserve">Chikungunya typically 3–7 days after bite; outbreaks increase risk; older age/comorbidities raise severe risk</w:t>
            </w:r>
          </w:p>
        </w:tc>
        <w:tc>
          <w:tcPr/>
          <w:p>
            <w:pPr>
              <w:pStyle w:val="Compact"/>
            </w:pPr>
            <w:r>
              <w:t xml:space="preserve">Many cases can be evaluated outpatient, but severe pain, frailty, older age, pregnancy near term, or inability to hydrate → urgent</w:t>
            </w:r>
          </w:p>
        </w:tc>
        <w:tc>
          <w:tcPr/>
          <w:p>
            <w:pPr>
              <w:pStyle w:val="Compact"/>
            </w:pPr>
            <w:r>
              <w:t xml:space="preserve">CDC chikungunya incubation and risk groups; CATMAT chikungunya clinical features and severe risk groups.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Fever without warning signs and reliable access to follow‑up (dengue‑like illness)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4–3</w:t>
            </w:r>
          </w:p>
        </w:tc>
        <w:tc>
          <w:tcPr/>
          <w:p>
            <w:pPr>
              <w:pStyle w:val="Compact"/>
            </w:pPr>
            <w:r>
              <w:t xml:space="preserve">Dengue without warning signs (plus other viral illnesses)</w:t>
            </w:r>
          </w:p>
        </w:tc>
        <w:tc>
          <w:tcPr/>
          <w:p>
            <w:pPr>
              <w:pStyle w:val="Compact"/>
            </w:pPr>
            <w:r>
              <w:t xml:space="preserve">Usually within 2 weeks of travel to dengue‑risk area</w:t>
            </w:r>
          </w:p>
        </w:tc>
        <w:tc>
          <w:tcPr/>
          <w:p>
            <w:pPr>
              <w:pStyle w:val="Compact"/>
            </w:pPr>
            <w:r>
              <w:t xml:space="preserve">Supportive care at home may be reasonable with strict return precautions; avoid NSAIDs until clinician assessment</w:t>
            </w:r>
          </w:p>
        </w:tc>
        <w:tc>
          <w:tcPr/>
          <w:p>
            <w:pPr>
              <w:pStyle w:val="Compact"/>
            </w:pPr>
            <w:r>
              <w:t xml:space="preserve">CDC dengue supportive care and NSAID avoidance; dengue warning sign framework.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[99]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Rash + conjunctivitis</w:t>
            </w:r>
            <w:r>
              <w:t xml:space="preserve"> </w:t>
            </w:r>
            <w:r>
              <w:t xml:space="preserve">± arthralgia in a pregnant person after travel to Zika‑risk 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(prompt)</w:t>
            </w:r>
          </w:p>
        </w:tc>
        <w:tc>
          <w:tcPr/>
          <w:p>
            <w:pPr>
              <w:pStyle w:val="Compact"/>
            </w:pPr>
            <w:r>
              <w:t xml:space="preserve">Zika (maternal infection may be mild; fetal risk is key outcome)</w:t>
            </w:r>
          </w:p>
        </w:tc>
        <w:tc>
          <w:tcPr/>
          <w:p>
            <w:pPr>
              <w:pStyle w:val="Compact"/>
            </w:pPr>
            <w:r>
              <w:t xml:space="preserve">Zika can affect fetus regardless of maternal symptoms; early pregnancy exposure increases risk</w:t>
            </w:r>
          </w:p>
        </w:tc>
        <w:tc>
          <w:tcPr/>
          <w:p>
            <w:pPr>
              <w:pStyle w:val="Compact"/>
            </w:pPr>
            <w:r>
              <w:t xml:space="preserve">Needs pregnancy‑specific evaluation pathway (counselling/testing decisions and possible ultrasound surveillance)</w:t>
            </w:r>
          </w:p>
        </w:tc>
        <w:tc>
          <w:tcPr/>
          <w:p>
            <w:pPr>
              <w:pStyle w:val="Compact"/>
            </w:pPr>
            <w:r>
              <w:t xml:space="preserve">CDC congenital Zika syndrome and pregnancy guidance; testing limitations discussed by CATMAT.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[100]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Fever + headache/vomiting progressing to disorientation/coma after travel in JE‑risk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Japanese encephalitis</w:t>
            </w:r>
          </w:p>
        </w:tc>
        <w:tc>
          <w:tcPr/>
          <w:p>
            <w:pPr>
              <w:pStyle w:val="Compact"/>
            </w:pPr>
            <w:r>
              <w:t xml:space="preserve">Incubation typically 5–15 days; risk depends on season/rural exposure</w:t>
            </w:r>
          </w:p>
        </w:tc>
        <w:tc>
          <w:tcPr/>
          <w:p>
            <w:pPr>
              <w:pStyle w:val="Compact"/>
            </w:pPr>
            <w:r>
              <w:t xml:space="preserve">Encephalitis is life‑threatening and requires inpatient management</w:t>
            </w:r>
          </w:p>
        </w:tc>
        <w:tc>
          <w:tcPr/>
          <w:p>
            <w:pPr>
              <w:pStyle w:val="Compact"/>
            </w:pPr>
            <w:r>
              <w:t xml:space="preserve">CDC JE symptoms with seizure risk and high case‑fatality in encephalitis; CDC Yellow Book JE CFR 20–30%.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[44]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Fever during Canadian mosquito season + older age/immunocompromise + neurologic symptoms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WNV and other arboviral encephalitides</w:t>
            </w:r>
          </w:p>
        </w:tc>
        <w:tc>
          <w:tcPr/>
          <w:p>
            <w:pPr>
              <w:pStyle w:val="Compact"/>
            </w:pPr>
            <w:r>
              <w:t xml:space="preserve">WNV incubation 2–14 days; can be longer in immunocompromised</w:t>
            </w:r>
          </w:p>
        </w:tc>
        <w:tc>
          <w:tcPr/>
          <w:p>
            <w:pPr>
              <w:pStyle w:val="Compact"/>
            </w:pPr>
            <w:r>
              <w:t xml:space="preserve">High‑risk host + neuro symptoms → emergency regardless of probability</w:t>
            </w:r>
          </w:p>
        </w:tc>
        <w:tc>
          <w:tcPr/>
          <w:p>
            <w:pPr>
              <w:pStyle w:val="Compact"/>
            </w:pPr>
            <w:r>
              <w:t xml:space="preserve">CDC WNV incubation and “seek immediate attention” guidance.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[101]</w:t>
              </w:r>
            </w:hyperlink>
          </w:p>
        </w:tc>
      </w:tr>
    </w:tbl>
    <w:bookmarkEnd w:id="73"/>
    <w:bookmarkStart w:id="74" w:name="Xf31d27aa2c9f111ea3067454e438a51790ffbbb"/>
    <w:p>
      <w:pPr>
        <w:pStyle w:val="Heading2"/>
      </w:pPr>
      <w:r>
        <w:t xml:space="preserve">Output 4: Node candidates for algorithm design</w:t>
      </w:r>
    </w:p>
    <w:p>
      <w:pPr>
        <w:pStyle w:val="FirstParagraph"/>
      </w:pPr>
      <w:r>
        <w:t xml:space="preserve">Nodes are selected for: high impact on disposition, public interpretability, and operational feasibility in a rules engine. “Failure modes” are the expected misclassification patterns and the mitigation strategy.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Technical definition</w:t>
            </w:r>
          </w:p>
        </w:tc>
        <w:tc>
          <w:tcPr/>
          <w:p>
            <w:pPr>
              <w:pStyle w:val="Compact"/>
            </w:pPr>
            <w:r>
              <w:t xml:space="preserve">Public‑friendly wording</w:t>
            </w:r>
          </w:p>
        </w:tc>
        <w:tc>
          <w:tcPr/>
          <w:p>
            <w:pPr>
              <w:pStyle w:val="Compact"/>
            </w:pPr>
            <w:r>
              <w:t xml:space="preserve">Clinician‑grade wording</w:t>
            </w:r>
          </w:p>
        </w:tc>
        <w:tc>
          <w:tcPr/>
          <w:p>
            <w:pPr>
              <w:pStyle w:val="Compact"/>
            </w:pPr>
            <w:r>
              <w:t xml:space="preserve">Evidence basis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Main failure modes → 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geography</w:t>
            </w:r>
          </w:p>
        </w:tc>
        <w:tc>
          <w:tcPr/>
          <w:p>
            <w:pPr>
              <w:pStyle w:val="Compact"/>
            </w:pPr>
            <w:r>
              <w:t xml:space="preserve">Country/region of bite(s) and/or travel in past year; classify by malaria risk, dengue risk, YF/JE risk</w:t>
            </w:r>
          </w:p>
        </w:tc>
        <w:tc>
          <w:tcPr/>
          <w:p>
            <w:pPr>
              <w:pStyle w:val="Compact"/>
            </w:pPr>
            <w:r>
              <w:t xml:space="preserve">“Where were you when you were bitten (or where did you travel)?”</w:t>
            </w:r>
          </w:p>
        </w:tc>
        <w:tc>
          <w:tcPr/>
          <w:p>
            <w:pPr>
              <w:pStyle w:val="Compact"/>
            </w:pPr>
            <w:r>
              <w:t xml:space="preserve">Location mapped to risk datasets (CATMAT malaria appendix; WHO YF country list; outbreak feeds)</w:t>
            </w:r>
          </w:p>
        </w:tc>
        <w:tc>
          <w:tcPr/>
          <w:p>
            <w:pPr>
              <w:pStyle w:val="Compact"/>
            </w:pPr>
            <w:r>
              <w:t xml:space="preserve">CATMAT malaria risk is geography‑specific; WHO travel advice provides YF risk lists; travel advisories provide outbreak context.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[102]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Must‑have</w:t>
            </w:r>
          </w:p>
        </w:tc>
        <w:tc>
          <w:tcPr/>
          <w:p>
            <w:pPr>
              <w:pStyle w:val="Compact"/>
            </w:pPr>
            <w:r>
              <w:t xml:space="preserve">Users omit stopovers → prompt for layovers/cruises; allow “not sure” and escalate if febrile traveller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Seasonality (local)</w:t>
            </w:r>
          </w:p>
        </w:tc>
        <w:tc>
          <w:tcPr/>
          <w:p>
            <w:pPr>
              <w:pStyle w:val="Compact"/>
            </w:pPr>
            <w:r>
              <w:t xml:space="preserve">For Canada: mosquito activity spring–fall; WNV season mid‑April to Nov; local arbovirus activity</w:t>
            </w:r>
          </w:p>
        </w:tc>
        <w:tc>
          <w:tcPr/>
          <w:p>
            <w:pPr>
              <w:pStyle w:val="Compact"/>
            </w:pPr>
            <w:r>
              <w:t xml:space="preserve">“Is it mosquito season where you are?” (auto‑detected from date/location if possible)</w:t>
            </w:r>
          </w:p>
        </w:tc>
        <w:tc>
          <w:tcPr/>
          <w:p>
            <w:pPr>
              <w:pStyle w:val="Compact"/>
            </w:pPr>
            <w:r>
              <w:t xml:space="preserve">Date + location + surveillance window</w:t>
            </w:r>
          </w:p>
        </w:tc>
        <w:tc>
          <w:tcPr/>
          <w:p>
            <w:pPr>
              <w:pStyle w:val="Compact"/>
            </w:pPr>
            <w:r>
              <w:t xml:space="preserve">PHAC notes mosquitoes usually active spring–fall; WNV season mid‑April–Nov.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Should‑have</w:t>
            </w:r>
          </w:p>
        </w:tc>
        <w:tc>
          <w:tcPr/>
          <w:p>
            <w:pPr>
              <w:pStyle w:val="Compact"/>
            </w:pPr>
            <w:r>
              <w:t xml:space="preserve">Climate variability → treat season as probability modifier, not safety 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Outbreak context</w:t>
            </w:r>
          </w:p>
        </w:tc>
        <w:tc>
          <w:tcPr/>
          <w:p>
            <w:pPr>
              <w:pStyle w:val="Compact"/>
            </w:pPr>
            <w:r>
              <w:t xml:space="preserve">Presence of public health travel notice for dengue/chikungunya/Zika etc within relevant time window</w:t>
            </w:r>
          </w:p>
        </w:tc>
        <w:tc>
          <w:tcPr/>
          <w:p>
            <w:pPr>
              <w:pStyle w:val="Compact"/>
            </w:pPr>
            <w:r>
              <w:t xml:space="preserve">“Was there a health alert about dengue/chikungunya/Zika where you travelled?” (engine should auto‑fetch)</w:t>
            </w:r>
          </w:p>
        </w:tc>
        <w:tc>
          <w:tcPr/>
          <w:p>
            <w:pPr>
              <w:pStyle w:val="Compact"/>
            </w:pPr>
            <w:r>
              <w:t xml:space="preserve">Active outbreak status from official feeds</w:t>
            </w:r>
          </w:p>
        </w:tc>
        <w:tc>
          <w:tcPr/>
          <w:p>
            <w:pPr>
              <w:pStyle w:val="Compact"/>
            </w:pPr>
            <w:r>
              <w:t xml:space="preserve">CDC Travel Health Notices and Government of Canada travel health notices are designed to signal elevated risk/outbreaks; ECDC publishes dengue overviews.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[103]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Must‑have for probability</w:t>
            </w:r>
          </w:p>
        </w:tc>
        <w:tc>
          <w:tcPr/>
          <w:p>
            <w:pPr>
              <w:pStyle w:val="Compact"/>
            </w:pPr>
            <w:r>
              <w:t xml:space="preserve">User can’t know → engine should look up; if lookup unavailable and symptoms severe, escalate anyway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since exposure / symptom onset</w:t>
            </w:r>
          </w:p>
        </w:tc>
        <w:tc>
          <w:tcPr/>
          <w:p>
            <w:pPr>
              <w:pStyle w:val="Compact"/>
            </w:pPr>
            <w:r>
              <w:t xml:space="preserve">Interval between last possible exposure and symptom onset</w:t>
            </w:r>
          </w:p>
        </w:tc>
        <w:tc>
          <w:tcPr/>
          <w:p>
            <w:pPr>
              <w:pStyle w:val="Compact"/>
            </w:pPr>
            <w:r>
              <w:t xml:space="preserve">“When did symptoms start?” and “When were you last in the risk area?”</w:t>
            </w:r>
          </w:p>
        </w:tc>
        <w:tc>
          <w:tcPr/>
          <w:p>
            <w:pPr>
              <w:pStyle w:val="Compact"/>
            </w:pPr>
            <w:r>
              <w:t xml:space="preserve">Date arithmetic with incubation gating</w:t>
            </w:r>
          </w:p>
        </w:tc>
        <w:tc>
          <w:tcPr/>
          <w:p>
            <w:pPr>
              <w:pStyle w:val="Compact"/>
            </w:pPr>
            <w:r>
              <w:t xml:space="preserve">Incubation periods: malaria 7–30 days typical and can be months; dengue 4–10 days; JE 5–15 days; WNV 2–14 days, etc.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[104]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Must‑have</w:t>
            </w:r>
          </w:p>
        </w:tc>
        <w:tc>
          <w:tcPr/>
          <w:p>
            <w:pPr>
              <w:pStyle w:val="Compact"/>
            </w:pPr>
            <w:r>
              <w:t xml:space="preserve">Recall error → allow ranges and “not sure”; apply conservative tiering for high‑consequence syndromes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Fever present</w:t>
            </w:r>
          </w:p>
        </w:tc>
        <w:tc>
          <w:tcPr/>
          <w:p>
            <w:pPr>
              <w:pStyle w:val="Compact"/>
            </w:pPr>
            <w:r>
              <w:t xml:space="preserve">Measured temp ≥38°C or subjective fever/chills/sweats</w:t>
            </w:r>
          </w:p>
        </w:tc>
        <w:tc>
          <w:tcPr/>
          <w:p>
            <w:pPr>
              <w:pStyle w:val="Compact"/>
            </w:pPr>
            <w:r>
              <w:t xml:space="preserve">“Do you have a fever now (or did you recently)?”</w:t>
            </w:r>
          </w:p>
        </w:tc>
        <w:tc>
          <w:tcPr/>
          <w:p>
            <w:pPr>
              <w:pStyle w:val="Compact"/>
            </w:pPr>
            <w:r>
              <w:t xml:space="preserve">Objective fever, rigors, clinically significant febrile illness</w:t>
            </w:r>
          </w:p>
        </w:tc>
        <w:tc>
          <w:tcPr/>
          <w:p>
            <w:pPr>
              <w:pStyle w:val="Compact"/>
            </w:pPr>
            <w:r>
              <w:t xml:space="preserve">Fever + malaria‑risk travel triggers emergency rule; dengue/chikungunya present with fever.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[105]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Must‑have</w:t>
            </w:r>
          </w:p>
        </w:tc>
        <w:tc>
          <w:tcPr/>
          <w:p>
            <w:pPr>
              <w:pStyle w:val="Compact"/>
            </w:pPr>
            <w:r>
              <w:t xml:space="preserve">Under‑reporting → include chills/sweats; if traveller looks ill, clinician mode overrides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Malaria‑risk travel + fever</w:t>
            </w:r>
          </w:p>
        </w:tc>
        <w:tc>
          <w:tcPr/>
          <w:p>
            <w:pPr>
              <w:pStyle w:val="Compact"/>
            </w:pPr>
            <w:r>
              <w:t xml:space="preserve">Derived boolean</w:t>
            </w:r>
          </w:p>
        </w:tc>
        <w:tc>
          <w:tcPr/>
          <w:p>
            <w:pPr>
              <w:pStyle w:val="Compact"/>
            </w:pPr>
            <w:r>
              <w:t xml:space="preserve">“Fever after travel to a malaria area?”</w:t>
            </w:r>
          </w:p>
        </w:tc>
        <w:tc>
          <w:tcPr/>
          <w:p>
            <w:pPr>
              <w:pStyle w:val="Compact"/>
            </w:pPr>
            <w:r>
              <w:t xml:space="preserve">Febrile traveller from malaria endemic area until ruled out</w:t>
            </w:r>
          </w:p>
        </w:tc>
        <w:tc>
          <w:tcPr/>
          <w:p>
            <w:pPr>
              <w:pStyle w:val="Compact"/>
            </w:pPr>
            <w:r>
              <w:t xml:space="preserve">CATMAT: immediate attention for fever within 1 year; CDC: chemoprophylaxis not 100% effective, seek care immediately if fever.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[93]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Must‑have</w:t>
            </w:r>
          </w:p>
        </w:tc>
        <w:tc>
          <w:tcPr/>
          <w:p>
            <w:pPr>
              <w:pStyle w:val="Compact"/>
            </w:pPr>
            <w:r>
              <w:t xml:space="preserve">Over‑triage acceptable; minimize with accurate malaria‑risk geocoding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Neurologic red flags</w:t>
            </w:r>
          </w:p>
        </w:tc>
        <w:tc>
          <w:tcPr/>
          <w:p>
            <w:pPr>
              <w:pStyle w:val="Compact"/>
            </w:pPr>
            <w:r>
              <w:t xml:space="preserve">Confusion, seizure, stiff neck, weakness/paralysis, coma, new severe headache with neuro signs</w:t>
            </w:r>
          </w:p>
        </w:tc>
        <w:tc>
          <w:tcPr/>
          <w:p>
            <w:pPr>
              <w:pStyle w:val="Compact"/>
            </w:pPr>
            <w:r>
              <w:t xml:space="preserve">“Confusion, seizure, stiff neck, weakness, trouble staying awake?”</w:t>
            </w:r>
          </w:p>
        </w:tc>
        <w:tc>
          <w:tcPr/>
          <w:p>
            <w:pPr>
              <w:pStyle w:val="Compact"/>
            </w:pPr>
            <w:r>
              <w:t xml:space="preserve">Suspected meningitis/encephalitis/myelitis</w:t>
            </w:r>
          </w:p>
        </w:tc>
        <w:tc>
          <w:tcPr/>
          <w:p>
            <w:pPr>
              <w:pStyle w:val="Compact"/>
            </w:pPr>
            <w:r>
              <w:t xml:space="preserve">CDC WNV “seek immediate medical attention” language for severe symptoms; arboviral encephalitis pages emphasize severity.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[106]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Must‑have</w:t>
            </w:r>
          </w:p>
        </w:tc>
        <w:tc>
          <w:tcPr/>
          <w:p>
            <w:pPr>
              <w:pStyle w:val="Compact"/>
            </w:pPr>
            <w:r>
              <w:t xml:space="preserve">False negatives (public) → hard‑override escalation when any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Haemorrhagic danger signs</w:t>
            </w:r>
          </w:p>
        </w:tc>
        <w:tc>
          <w:tcPr/>
          <w:p>
            <w:pPr>
              <w:pStyle w:val="Compact"/>
            </w:pPr>
            <w:r>
              <w:t xml:space="preserve">Vomiting blood, black stools, significant gum/nose bleeding, easy bruising with systemic illness, shock signs</w:t>
            </w:r>
          </w:p>
        </w:tc>
        <w:tc>
          <w:tcPr/>
          <w:p>
            <w:pPr>
              <w:pStyle w:val="Compact"/>
            </w:pPr>
            <w:r>
              <w:t xml:space="preserve">“Any serious bleeding (vomit blood, black stool)?”</w:t>
            </w:r>
          </w:p>
        </w:tc>
        <w:tc>
          <w:tcPr/>
          <w:p>
            <w:pPr>
              <w:pStyle w:val="Compact"/>
            </w:pPr>
            <w:r>
              <w:t xml:space="preserve">Haemorrhagic syndrome; shock; severe plasma leakage</w:t>
            </w:r>
          </w:p>
        </w:tc>
        <w:tc>
          <w:tcPr/>
          <w:p>
            <w:pPr>
              <w:pStyle w:val="Compact"/>
            </w:pPr>
            <w:r>
              <w:t xml:space="preserve">Severe dengue and yellow fever can present with bleeding and shock; dengue critical phase can deteriorate within hours.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[107]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Must‑have</w:t>
            </w:r>
          </w:p>
        </w:tc>
        <w:tc>
          <w:tcPr/>
          <w:p>
            <w:pPr>
              <w:pStyle w:val="Compact"/>
            </w:pPr>
            <w:r>
              <w:t xml:space="preserve">Misinterpretation of mild spotting → provide examples/thresholds and “if unsure, seek care”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Dengue warning signs</w:t>
            </w:r>
          </w:p>
        </w:tc>
        <w:tc>
          <w:tcPr/>
          <w:p>
            <w:pPr>
              <w:pStyle w:val="Compact"/>
            </w:pPr>
            <w:r>
              <w:t xml:space="preserve">CDC warning signs checklist (abdominal pain/tenderness; persistent vomiting; fluid accumulation; mucosal bleeding; lethargy/restlessness; hepatomegaly)</w:t>
            </w:r>
          </w:p>
        </w:tc>
        <w:tc>
          <w:tcPr/>
          <w:p>
            <w:pPr>
              <w:pStyle w:val="Compact"/>
            </w:pPr>
            <w:r>
              <w:t xml:space="preserve">“Severe belly pain? Vomiting repeatedly? Bleeding from gums/nose? Very sleepy/restless?”</w:t>
            </w:r>
          </w:p>
        </w:tc>
        <w:tc>
          <w:tcPr/>
          <w:p>
            <w:pPr>
              <w:pStyle w:val="Compact"/>
            </w:pPr>
            <w:r>
              <w:t xml:space="preserve">Dengue warning signs and phase timing</w:t>
            </w:r>
          </w:p>
        </w:tc>
        <w:tc>
          <w:tcPr/>
          <w:p>
            <w:pPr>
              <w:pStyle w:val="Compact"/>
            </w:pPr>
            <w:r>
              <w:t xml:space="preserve">CDC dengue warning signs; critical phase begins at defervescence and lasts 24–48h.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[108]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Must‑have</w:t>
            </w:r>
          </w:p>
        </w:tc>
        <w:tc>
          <w:tcPr/>
          <w:p>
            <w:pPr>
              <w:pStyle w:val="Compact"/>
            </w:pPr>
            <w:r>
              <w:t xml:space="preserve">Users miss defervescence → ask “Did your fever suddenly go away and you then felt worse?”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Jaundice</w:t>
            </w:r>
          </w:p>
        </w:tc>
        <w:tc>
          <w:tcPr/>
          <w:p>
            <w:pPr>
              <w:pStyle w:val="Compact"/>
            </w:pPr>
            <w:r>
              <w:t xml:space="preserve">Yellow skin or eyes; dark urine</w:t>
            </w:r>
          </w:p>
        </w:tc>
        <w:tc>
          <w:tcPr/>
          <w:p>
            <w:pPr>
              <w:pStyle w:val="Compact"/>
            </w:pPr>
            <w:r>
              <w:t xml:space="preserve">“Yellow eyes/skin?”</w:t>
            </w:r>
          </w:p>
        </w:tc>
        <w:tc>
          <w:tcPr/>
          <w:p>
            <w:pPr>
              <w:pStyle w:val="Compact"/>
            </w:pPr>
            <w:r>
              <w:t xml:space="preserve">Clinical jaundice, hepatic failure markers</w:t>
            </w:r>
          </w:p>
        </w:tc>
        <w:tc>
          <w:tcPr/>
          <w:p>
            <w:pPr>
              <w:pStyle w:val="Compact"/>
            </w:pPr>
            <w:r>
              <w:t xml:space="preserve">Yellow fever severe phase; severe malaria can cause jaundice.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[109]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Must‑have</w:t>
            </w:r>
          </w:p>
        </w:tc>
        <w:tc>
          <w:tcPr/>
          <w:p>
            <w:pPr>
              <w:pStyle w:val="Compact"/>
            </w:pPr>
            <w:r>
              <w:t xml:space="preserve">Users miss subtle jaundice → include “yellow whites of eyes” and “dark urine”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Pregnancy</w:t>
            </w:r>
          </w:p>
        </w:tc>
        <w:tc>
          <w:tcPr/>
          <w:p>
            <w:pPr>
              <w:pStyle w:val="Compact"/>
            </w:pPr>
            <w:r>
              <w:t xml:space="preserve">Current pregnancy or possibility</w:t>
            </w:r>
          </w:p>
        </w:tc>
        <w:tc>
          <w:tcPr/>
          <w:p>
            <w:pPr>
              <w:pStyle w:val="Compact"/>
            </w:pPr>
            <w:r>
              <w:t xml:space="preserve">“Are you pregnant or could you be?”</w:t>
            </w:r>
          </w:p>
        </w:tc>
        <w:tc>
          <w:tcPr/>
          <w:p>
            <w:pPr>
              <w:pStyle w:val="Compact"/>
            </w:pPr>
            <w:r>
              <w:t xml:space="preserve">Pregnancy status and trimester</w:t>
            </w:r>
          </w:p>
        </w:tc>
        <w:tc>
          <w:tcPr/>
          <w:p>
            <w:pPr>
              <w:pStyle w:val="Compact"/>
            </w:pPr>
            <w:r>
              <w:t xml:space="preserve">Zika congenital risks can occur without maternal symptoms; pregnancy modifies malaria severity and travel decisions.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[110]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Must‑have</w:t>
            </w:r>
          </w:p>
        </w:tc>
        <w:tc>
          <w:tcPr/>
          <w:p>
            <w:pPr>
              <w:pStyle w:val="Compact"/>
            </w:pPr>
            <w:r>
              <w:t xml:space="preserve">Privacy concerns → optional response; conservative routing to clinician pathway if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band</w:t>
            </w:r>
          </w:p>
        </w:tc>
        <w:tc>
          <w:tcPr/>
          <w:p>
            <w:pPr>
              <w:pStyle w:val="Compact"/>
            </w:pPr>
            <w:r>
              <w:t xml:space="preserve">Infant/child/adult/older adult</w:t>
            </w:r>
          </w:p>
        </w:tc>
        <w:tc>
          <w:tcPr/>
          <w:p>
            <w:pPr>
              <w:pStyle w:val="Compact"/>
            </w:pPr>
            <w:r>
              <w:t xml:space="preserve">“Age?”</w:t>
            </w:r>
          </w:p>
        </w:tc>
        <w:tc>
          <w:tcPr/>
          <w:p>
            <w:pPr>
              <w:pStyle w:val="Compact"/>
            </w:pPr>
            <w:r>
              <w:t xml:space="preserve">Age risk stratification</w:t>
            </w:r>
          </w:p>
        </w:tc>
        <w:tc>
          <w:tcPr/>
          <w:p>
            <w:pPr>
              <w:pStyle w:val="Compact"/>
            </w:pPr>
            <w:r>
              <w:t xml:space="preserve">Chikungunya severe disease higher risk in newborns around birth and older adults; WEE severe risk in infants and older adults; WNV severe risk higher with age.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[111]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Should‑have</w:t>
            </w:r>
          </w:p>
        </w:tc>
        <w:tc>
          <w:tcPr/>
          <w:p>
            <w:pPr>
              <w:pStyle w:val="Compact"/>
            </w:pPr>
            <w:r>
              <w:t xml:space="preserve">Unknown DOB → ask age 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Immunocompromised</w:t>
            </w:r>
          </w:p>
        </w:tc>
        <w:tc>
          <w:tcPr/>
          <w:p>
            <w:pPr>
              <w:pStyle w:val="Compact"/>
            </w:pPr>
            <w:r>
              <w:t xml:space="preserve">Transplant, chemo, high‑dose steroids, advanced HIV, etc.</w:t>
            </w:r>
          </w:p>
        </w:tc>
        <w:tc>
          <w:tcPr/>
          <w:p>
            <w:pPr>
              <w:pStyle w:val="Compact"/>
            </w:pPr>
            <w:r>
              <w:t xml:space="preserve">“Is your immune system weakened?”</w:t>
            </w:r>
          </w:p>
        </w:tc>
        <w:tc>
          <w:tcPr/>
          <w:p>
            <w:pPr>
              <w:pStyle w:val="Compact"/>
            </w:pPr>
            <w:r>
              <w:t xml:space="preserve">Immunocompromised state</w:t>
            </w:r>
          </w:p>
        </w:tc>
        <w:tc>
          <w:tcPr/>
          <w:p>
            <w:pPr>
              <w:pStyle w:val="Compact"/>
            </w:pPr>
            <w:r>
              <w:t xml:space="preserve">WNV incubation may be longer in immunocompromised; severe outcomes more likely.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[112]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Should‑have</w:t>
            </w:r>
          </w:p>
        </w:tc>
        <w:tc>
          <w:tcPr/>
          <w:p>
            <w:pPr>
              <w:pStyle w:val="Compact"/>
            </w:pPr>
            <w:r>
              <w:t xml:space="preserve">User unsure → checklist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Malaria chemoprophylaxis use/adherence</w:t>
            </w:r>
          </w:p>
        </w:tc>
        <w:tc>
          <w:tcPr/>
          <w:p>
            <w:pPr>
              <w:pStyle w:val="Compact"/>
            </w:pPr>
            <w:r>
              <w:t xml:space="preserve">Drug taken as prescribed (yes/no/partial/unknown)</w:t>
            </w:r>
          </w:p>
        </w:tc>
        <w:tc>
          <w:tcPr/>
          <w:p>
            <w:pPr>
              <w:pStyle w:val="Compact"/>
            </w:pPr>
            <w:r>
              <w:t xml:space="preserve">“Did you take malaria pills exactly as prescribed?”</w:t>
            </w:r>
          </w:p>
        </w:tc>
        <w:tc>
          <w:tcPr/>
          <w:p>
            <w:pPr>
              <w:pStyle w:val="Compact"/>
            </w:pPr>
            <w:r>
              <w:t xml:space="preserve">Chemoprophylaxis regimen + adherence</w:t>
            </w:r>
          </w:p>
        </w:tc>
        <w:tc>
          <w:tcPr/>
          <w:p>
            <w:pPr>
              <w:pStyle w:val="Compact"/>
            </w:pPr>
            <w:r>
              <w:t xml:space="preserve">CATMAT/CDC emphasize prophylaxis reduces risk but does not eliminate it; fever still requires urgent testing.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Should‑have</w:t>
            </w:r>
          </w:p>
        </w:tc>
        <w:tc>
          <w:tcPr/>
          <w:p>
            <w:pPr>
              <w:pStyle w:val="Compact"/>
            </w:pPr>
            <w:r>
              <w:t xml:space="preserve">False reassurance → engine must state “still possible” and keep fever‑after‑travel fail‑safe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Yellow fever vaccination status + certificate validity window</w:t>
            </w:r>
          </w:p>
        </w:tc>
        <w:tc>
          <w:tcPr/>
          <w:p>
            <w:pPr>
              <w:pStyle w:val="Compact"/>
            </w:pPr>
            <w:r>
              <w:t xml:space="preserve">Vaccinated ≥10 days before exposure with valid ICVP (yes/no/unknown)</w:t>
            </w:r>
          </w:p>
        </w:tc>
        <w:tc>
          <w:tcPr/>
          <w:p>
            <w:pPr>
              <w:pStyle w:val="Compact"/>
            </w:pPr>
            <w:r>
              <w:t xml:space="preserve">“Did you get the yellow fever vaccine at least 10 days before travel?”</w:t>
            </w:r>
          </w:p>
        </w:tc>
        <w:tc>
          <w:tcPr/>
          <w:p>
            <w:pPr>
              <w:pStyle w:val="Compact"/>
            </w:pPr>
            <w:r>
              <w:t xml:space="preserve">Documented vaccination date and ICVP validity</w:t>
            </w:r>
          </w:p>
        </w:tc>
        <w:tc>
          <w:tcPr/>
          <w:p>
            <w:pPr>
              <w:pStyle w:val="Compact"/>
            </w:pPr>
            <w:r>
              <w:t xml:space="preserve">ICVP valid from 10 days after vaccination and for life per IHR; vaccine protects starting 10 days after administration.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Should‑have</w:t>
            </w:r>
          </w:p>
        </w:tc>
        <w:tc>
          <w:tcPr/>
          <w:p>
            <w:pPr>
              <w:pStyle w:val="Compact"/>
            </w:pPr>
            <w:r>
              <w:t xml:space="preserve">User confusion about “expiry date” → provide explanation and allow upload/photo in clinician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 vaccination status</w:t>
            </w:r>
          </w:p>
        </w:tc>
        <w:tc>
          <w:tcPr/>
          <w:p>
            <w:pPr>
              <w:pStyle w:val="Compact"/>
            </w:pPr>
            <w:r>
              <w:t xml:space="preserve">JE vaccine received (yes/no/unknown)</w:t>
            </w:r>
          </w:p>
        </w:tc>
        <w:tc>
          <w:tcPr/>
          <w:p>
            <w:pPr>
              <w:pStyle w:val="Compact"/>
            </w:pPr>
            <w:r>
              <w:t xml:space="preserve">“Did you get the Japanese encephalitis vaccine?”</w:t>
            </w:r>
          </w:p>
        </w:tc>
        <w:tc>
          <w:tcPr/>
          <w:p>
            <w:pPr>
              <w:pStyle w:val="Compact"/>
            </w:pPr>
            <w:r>
              <w:t xml:space="preserve">Vaccination record and timing</w:t>
            </w:r>
          </w:p>
        </w:tc>
        <w:tc>
          <w:tcPr/>
          <w:p>
            <w:pPr>
              <w:pStyle w:val="Compact"/>
            </w:pPr>
            <w:r>
              <w:t xml:space="preserve">JE vaccine is recommended for selected travellers; not recommended for very low‑risk itineraries; risk depends on season/location/duration.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[114]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Vaccine does not fully rule out disease; neuro symptoms still override</w:t>
            </w:r>
          </w:p>
        </w:tc>
      </w:tr>
    </w:tbl>
    <w:bookmarkEnd w:id="74"/>
    <w:bookmarkStart w:id="75" w:name="output-5-publicsafe-simplifications"/>
    <w:p>
      <w:pPr>
        <w:pStyle w:val="Heading2"/>
      </w:pPr>
      <w:r>
        <w:t xml:space="preserve">Output 5: Public‑safe simplifications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Clinician concept</w:t>
            </w:r>
          </w:p>
        </w:tc>
        <w:tc>
          <w:tcPr/>
          <w:p>
            <w:pPr>
              <w:pStyle w:val="Compact"/>
            </w:pPr>
            <w:r>
              <w:t xml:space="preserve">Public‑friendly version</w:t>
            </w:r>
          </w:p>
        </w:tc>
        <w:tc>
          <w:tcPr/>
          <w:p>
            <w:pPr>
              <w:pStyle w:val="Compact"/>
            </w:pPr>
            <w:r>
              <w:t xml:space="preserve">Risk of misclassification</w:t>
            </w:r>
          </w:p>
        </w:tc>
        <w:tc>
          <w:tcPr/>
          <w:p>
            <w:pPr>
              <w:pStyle w:val="Compact"/>
            </w:pPr>
            <w:r>
              <w:t xml:space="preserve">Mitigation strategy in the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“Malaria endemic area”</w:t>
            </w:r>
          </w:p>
        </w:tc>
        <w:tc>
          <w:tcPr/>
          <w:p>
            <w:pPr>
              <w:pStyle w:val="Compact"/>
            </w:pPr>
            <w:r>
              <w:t xml:space="preserve">“A place where malaria is a risk”</w:t>
            </w:r>
          </w:p>
        </w:tc>
        <w:tc>
          <w:tcPr/>
          <w:p>
            <w:pPr>
              <w:pStyle w:val="Compact"/>
            </w:pPr>
            <w:r>
              <w:t xml:space="preserve">Users may not know if their region is malaria‑risk</w:t>
            </w:r>
          </w:p>
        </w:tc>
        <w:tc>
          <w:tcPr/>
          <w:p>
            <w:pPr>
              <w:pStyle w:val="Compact"/>
            </w:pPr>
            <w:r>
              <w:t xml:space="preserve">Auto‑geocode using CATMAT/CDC country risk tables; allow “not sure” → if fever + any tropical travel, escalate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[115]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“Defervescence”</w:t>
            </w:r>
          </w:p>
        </w:tc>
        <w:tc>
          <w:tcPr/>
          <w:p>
            <w:pPr>
              <w:pStyle w:val="Compact"/>
            </w:pPr>
            <w:r>
              <w:t xml:space="preserve">“Your fever suddenly goes away”</w:t>
            </w:r>
          </w:p>
        </w:tc>
        <w:tc>
          <w:tcPr/>
          <w:p>
            <w:pPr>
              <w:pStyle w:val="Compact"/>
            </w:pPr>
            <w:r>
              <w:t xml:space="preserve">Users may think “getting better” when actually entering dengue critical phase</w:t>
            </w:r>
          </w:p>
        </w:tc>
        <w:tc>
          <w:tcPr/>
          <w:p>
            <w:pPr>
              <w:pStyle w:val="Compact"/>
            </w:pPr>
            <w:r>
              <w:t xml:space="preserve">Ask: “Did your fever go away and then you got worse?”; include warning signs checklist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[97]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“Dengue warning signs”</w:t>
            </w:r>
          </w:p>
        </w:tc>
        <w:tc>
          <w:tcPr/>
          <w:p>
            <w:pPr>
              <w:pStyle w:val="Compact"/>
            </w:pPr>
            <w:r>
              <w:t xml:space="preserve">“Severe belly pain, repeated vomiting, bleeding, very sleepy/restless”</w:t>
            </w:r>
          </w:p>
        </w:tc>
        <w:tc>
          <w:tcPr/>
          <w:p>
            <w:pPr>
              <w:pStyle w:val="Compact"/>
            </w:pPr>
            <w:r>
              <w:t xml:space="preserve">Users may under‑recognize “persistent vomiting”</w:t>
            </w:r>
          </w:p>
        </w:tc>
        <w:tc>
          <w:tcPr/>
          <w:p>
            <w:pPr>
              <w:pStyle w:val="Compact"/>
            </w:pPr>
            <w:r>
              <w:t xml:space="preserve">Provide thresholds/examples and “if unsure, seek care” pathway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“Neuroinvasive disease”</w:t>
            </w:r>
          </w:p>
        </w:tc>
        <w:tc>
          <w:tcPr/>
          <w:p>
            <w:pPr>
              <w:pStyle w:val="Compact"/>
            </w:pPr>
            <w:r>
              <w:t xml:space="preserve">“Confusion, seizure, stiff neck, weakness/paralysis”</w:t>
            </w:r>
          </w:p>
        </w:tc>
        <w:tc>
          <w:tcPr/>
          <w:p>
            <w:pPr>
              <w:pStyle w:val="Compact"/>
            </w:pPr>
            <w:r>
              <w:t xml:space="preserve">Users may attribute confusion to fatigue</w:t>
            </w:r>
          </w:p>
        </w:tc>
        <w:tc>
          <w:tcPr/>
          <w:p>
            <w:pPr>
              <w:pStyle w:val="Compact"/>
            </w:pPr>
            <w:r>
              <w:t xml:space="preserve">Hard override: any neurologic red flag → Tier 1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[117]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“Haemorrhagic signs”</w:t>
            </w:r>
          </w:p>
        </w:tc>
        <w:tc>
          <w:tcPr/>
          <w:p>
            <w:pPr>
              <w:pStyle w:val="Compact"/>
            </w:pPr>
            <w:r>
              <w:t xml:space="preserve">“Vomiting blood, black or bloody stool, heavy bleeding from gums/nose, fainting/shock”</w:t>
            </w:r>
          </w:p>
        </w:tc>
        <w:tc>
          <w:tcPr/>
          <w:p>
            <w:pPr>
              <w:pStyle w:val="Compact"/>
            </w:pPr>
            <w:r>
              <w:t xml:space="preserve">Users may confuse minor bleeding with major haemorrhage</w:t>
            </w:r>
          </w:p>
        </w:tc>
        <w:tc>
          <w:tcPr/>
          <w:p>
            <w:pPr>
              <w:pStyle w:val="Compact"/>
            </w:pPr>
            <w:r>
              <w:t xml:space="preserve">Provide clear examples; if major bleeding or fainting → Tier 1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[107]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“Jaundice”</w:t>
            </w:r>
          </w:p>
        </w:tc>
        <w:tc>
          <w:tcPr/>
          <w:p>
            <w:pPr>
              <w:pStyle w:val="Compact"/>
            </w:pPr>
            <w:r>
              <w:t xml:space="preserve">“Yellow eyes/skin or very dark urine”</w:t>
            </w:r>
          </w:p>
        </w:tc>
        <w:tc>
          <w:tcPr/>
          <w:p>
            <w:pPr>
              <w:pStyle w:val="Compact"/>
            </w:pPr>
            <w:r>
              <w:t xml:space="preserve">Subtle jaundice may be missed</w:t>
            </w:r>
          </w:p>
        </w:tc>
        <w:tc>
          <w:tcPr/>
          <w:p>
            <w:pPr>
              <w:pStyle w:val="Compact"/>
            </w:pPr>
            <w:r>
              <w:t xml:space="preserve">Include visual descriptors and “dark urine + yellow eyes” combo trigger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[109]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“Chemoprophylaxis doesn’t rule out malaria”</w:t>
            </w:r>
          </w:p>
        </w:tc>
        <w:tc>
          <w:tcPr/>
          <w:p>
            <w:pPr>
              <w:pStyle w:val="Compact"/>
            </w:pPr>
            <w:r>
              <w:t xml:space="preserve">“Malaria pills reduce risk but don’t guarantee protection”</w:t>
            </w:r>
          </w:p>
        </w:tc>
        <w:tc>
          <w:tcPr/>
          <w:p>
            <w:pPr>
              <w:pStyle w:val="Compact"/>
            </w:pPr>
            <w:r>
              <w:t xml:space="preserve">False reassurance</w:t>
            </w:r>
          </w:p>
        </w:tc>
        <w:tc>
          <w:tcPr/>
          <w:p>
            <w:pPr>
              <w:pStyle w:val="Compact"/>
            </w:pPr>
            <w:r>
              <w:t xml:space="preserve">Keep fever‑after‑travel Tier 1 rule even if prophylaxis used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[81]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“Outbreak context”</w:t>
            </w:r>
          </w:p>
        </w:tc>
        <w:tc>
          <w:tcPr/>
          <w:p>
            <w:pPr>
              <w:pStyle w:val="Compact"/>
            </w:pPr>
            <w:r>
              <w:t xml:space="preserve">“There’s a current health alert for dengue/chikungunya”</w:t>
            </w:r>
          </w:p>
        </w:tc>
        <w:tc>
          <w:tcPr/>
          <w:p>
            <w:pPr>
              <w:pStyle w:val="Compact"/>
            </w:pPr>
            <w:r>
              <w:t xml:space="preserve">Users won’t know current alerts</w:t>
            </w:r>
          </w:p>
        </w:tc>
        <w:tc>
          <w:tcPr/>
          <w:p>
            <w:pPr>
              <w:pStyle w:val="Compact"/>
            </w:pPr>
            <w:r>
              <w:t xml:space="preserve">Engine should query official notices (CDC/Canada/WHO/ECDC) rather than relying on user knowledge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[103]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“Pregnancy‑specific Zika risk”</w:t>
            </w:r>
          </w:p>
        </w:tc>
        <w:tc>
          <w:tcPr/>
          <w:p>
            <w:pPr>
              <w:pStyle w:val="Compact"/>
            </w:pPr>
            <w:r>
              <w:t xml:space="preserve">“Zika can affect a baby even if you felt fine”</w:t>
            </w:r>
          </w:p>
        </w:tc>
        <w:tc>
          <w:tcPr/>
          <w:p>
            <w:pPr>
              <w:pStyle w:val="Compact"/>
            </w:pPr>
            <w:r>
              <w:t xml:space="preserve">Anxiety/over‑triage</w:t>
            </w:r>
          </w:p>
        </w:tc>
        <w:tc>
          <w:tcPr/>
          <w:p>
            <w:pPr>
              <w:pStyle w:val="Compact"/>
            </w:pPr>
            <w:r>
              <w:t xml:space="preserve">Route to Tier 3 pregnancy counselling module; avoid recommending routine testing in low‑risk contexts unless guideline‑consistent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[87]</w:t>
              </w:r>
            </w:hyperlink>
          </w:p>
        </w:tc>
      </w:tr>
    </w:tbl>
    <w:bookmarkEnd w:id="75"/>
    <w:bookmarkStart w:id="79" w:name="output-6-failsafe-escalation-rules"/>
    <w:p>
      <w:pPr>
        <w:pStyle w:val="Heading2"/>
      </w:pPr>
      <w:r>
        <w:t xml:space="preserve">Output 6: Fail‑safe escalation rules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hard overrides</w:t>
      </w:r>
      <w:r>
        <w:t xml:space="preserve"> </w:t>
      </w:r>
      <w:r>
        <w:t xml:space="preserve">designed to minimize catastrophic misses and handle uncertainty safely.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Fail‑safe trigger (public or clinician mode)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Override disposition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Evidence basis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 fever</w:t>
            </w:r>
            <w:r>
              <w:t xml:space="preserve"> </w:t>
            </w:r>
            <w:r>
              <w:t xml:space="preserve">during travel in malaria‑risk region or within 1 year after return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CATMAT: immediate medical attention for unexplained fever within 1 year regardless of prophylaxis; &gt;90% falciparum manifests within 3 months; malaria may be fatal if delayed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[118]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Fever + inability to obtain malaria testing promptly (remote/limited access)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Malaria is time‑sensitive; delays increase severe outcomes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[119]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Fever +</w:t>
            </w:r>
            <w:r>
              <w:t xml:space="preserve"> </w:t>
            </w:r>
            <w:r>
              <w:rPr>
                <w:b/>
                <w:bCs/>
              </w:rPr>
              <w:t xml:space="preserve">confusion, seizure, stiff neck, weakness/paralysis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Neuroinvasive arboviruses and encephalitis/meningitis syndromes require hospital evaluation and supportive care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[120]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Suspected dengue +</w:t>
            </w:r>
            <w:r>
              <w:t xml:space="preserve"> </w:t>
            </w:r>
            <w:r>
              <w:rPr>
                <w:b/>
                <w:bCs/>
              </w:rPr>
              <w:t xml:space="preserve">any warning sign</w:t>
            </w:r>
            <w:r>
              <w:t xml:space="preserve"> </w:t>
            </w:r>
            <w:r>
              <w:t xml:space="preserve">OR deterioration around fever resolving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2 (→Tier 1 if shock/major bleeding/AMS)</w:t>
            </w:r>
          </w:p>
        </w:tc>
        <w:tc>
          <w:tcPr/>
          <w:p>
            <w:pPr>
              <w:pStyle w:val="Compact"/>
            </w:pPr>
            <w:r>
              <w:t xml:space="preserve">CDC: critical phase begins at defervescence, lasts 24–48h, deterioration can occur within hours; warning signs predict progression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 bleeding</w:t>
            </w:r>
            <w:r>
              <w:t xml:space="preserve">, fainting, or signs of shock after travel to arbovirus‑risk 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Severe dengue/yellow fever/RVF haemorrhagic syndromes can be fatal without urgent support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[121]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Fever +</w:t>
            </w:r>
            <w:r>
              <w:t xml:space="preserve"> </w:t>
            </w:r>
            <w:r>
              <w:rPr>
                <w:b/>
                <w:bCs/>
              </w:rPr>
              <w:t xml:space="preserve">jaundice</w:t>
            </w:r>
            <w:r>
              <w:t xml:space="preserve"> </w:t>
            </w:r>
            <w:r>
              <w:t xml:space="preserve">after travel to YF‑risk or malaria‑risk areas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Yellow fever severe disease and severe malaria require emergency evaluation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[122]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Pregnancy + recent exposure in Zika‑risk area + rash/fever/conjunctivitis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3 (prompt) with escalation if systemic severity</w:t>
            </w:r>
          </w:p>
        </w:tc>
        <w:tc>
          <w:tcPr/>
          <w:p>
            <w:pPr>
              <w:pStyle w:val="Compact"/>
            </w:pPr>
            <w:r>
              <w:t xml:space="preserve">Congenital risks can occur even without maternal symptoms; needs pregnancy‑specific counselling and possible ultrasound pathway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[123]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Uncertain geography + fever after any tropical/subtropical travel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When geography is uncertain, safest to assume malaria until ruled out; fever in returned traveller can represent life‑threatening infection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[124]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“Unknown cause bug bite” + neurologic symptoms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High‑risk syndrome dominates regardless of exposure certainty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[117]</w:t>
              </w:r>
            </w:hyperlink>
          </w:p>
        </w:tc>
      </w:tr>
    </w:tbl>
    <w:bookmarkStart w:id="78" w:name="Xb300567167060614e21c122f4166ac084961e38"/>
    <w:p>
      <w:pPr>
        <w:pStyle w:val="Heading3"/>
      </w:pPr>
      <w:r>
        <w:t xml:space="preserve">Implementation note: outbreak and geography lookups should be first‑class engine services</w:t>
      </w:r>
    </w:p>
    <w:p>
      <w:pPr>
        <w:pStyle w:val="FirstParagraph"/>
      </w:pPr>
      <w:r>
        <w:t xml:space="preserve">For a safe, maintainable mosquito‑borne engine, treat “outbreak activity” and “endemicity/risk classification” as</w:t>
      </w:r>
      <w:r>
        <w:t xml:space="preserve"> </w:t>
      </w:r>
      <w:r>
        <w:rPr>
          <w:b/>
          <w:bCs/>
        </w:rPr>
        <w:t xml:space="preserve">updatable inputs</w:t>
      </w:r>
      <w:r>
        <w:t xml:space="preserve">, not hard‑coded logic. Recommended authoritative data hooks include:</w:t>
      </w:r>
      <w:r>
        <w:t xml:space="preserve"> </w:t>
      </w:r>
      <w:r>
        <w:t xml:space="preserve">- Government of Canada travel health notices (PHAC) for traveller‑facing outbreak alerts and risk messaging.</w:t>
      </w:r>
      <w:r>
        <w:t xml:space="preserve"> </w:t>
      </w:r>
      <w:hyperlink r:id="rId76">
        <w:r>
          <w:rPr>
            <w:rStyle w:val="Hyperlink"/>
          </w:rPr>
          <w:t xml:space="preserve">[125]</w:t>
        </w:r>
      </w:hyperlink>
      <w:r>
        <w:br/>
      </w:r>
      <w:r>
        <w:t xml:space="preserve">- CDC Travel Health Notices and destination pages for outbreak and vector risk updates.</w:t>
      </w:r>
      <w:r>
        <w:t xml:space="preserve"> </w:t>
      </w:r>
      <w:hyperlink r:id="rId27">
        <w:r>
          <w:rPr>
            <w:rStyle w:val="Hyperlink"/>
          </w:rPr>
          <w:t xml:space="preserve">[126]</w:t>
        </w:r>
      </w:hyperlink>
      <w:r>
        <w:br/>
      </w:r>
      <w:r>
        <w:t xml:space="preserve">- WHO travel advice and country lists (notably yellow fever risk/requirements) for global standardization.</w:t>
      </w:r>
      <w:r>
        <w:t xml:space="preserve"> </w:t>
      </w:r>
      <w:hyperlink r:id="rId70">
        <w:r>
          <w:rPr>
            <w:rStyle w:val="Hyperlink"/>
          </w:rPr>
          <w:t xml:space="preserve">[127]</w:t>
        </w:r>
      </w:hyperlink>
      <w:r>
        <w:br/>
      </w:r>
      <w:r>
        <w:t xml:space="preserve">- ECDC dengue overviews for Europe‑centred monitoring and global situational awareness.</w:t>
      </w:r>
      <w:r>
        <w:t xml:space="preserve"> </w:t>
      </w:r>
      <w:hyperlink r:id="rId77">
        <w:r>
          <w:rPr>
            <w:rStyle w:val="Hyperlink"/>
          </w:rPr>
          <w:t xml:space="preserve">[128]</w:t>
        </w:r>
      </w:hyperlink>
    </w:p>
    <w:p>
      <w:pPr>
        <w:pStyle w:val="BodyText"/>
      </w:pPr>
      <w:r>
        <w:t xml:space="preserve">These services should return a minimal machine‑readable object (e.g.,</w:t>
      </w:r>
      <w:r>
        <w:t xml:space="preserve"> </w:t>
      </w:r>
      <w:r>
        <w:rPr>
          <w:rStyle w:val="VerbatimChar"/>
        </w:rPr>
        <w:t xml:space="preserve">malaria_risk=true/false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dengue_outbreak_level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yellow_fever_risk=true/false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je_season=true/false</w:t>
      </w:r>
      <w:r>
        <w:t xml:space="preserve">) that your decision tree consumes, with a</w:t>
      </w:r>
      <w:r>
        <w:t xml:space="preserve"> </w:t>
      </w:r>
      <w:r>
        <w:rPr>
          <w:b/>
          <w:bCs/>
        </w:rPr>
        <w:t xml:space="preserve">conservative fallback</w:t>
      </w:r>
      <w:r>
        <w:t xml:space="preserve"> </w:t>
      </w:r>
      <w:r>
        <w:t xml:space="preserve">when data are unavailable (e.g., “unknown risk + fever after travel → Tier 1”).</w:t>
      </w:r>
      <w:r>
        <w:t xml:space="preserve"> </w:t>
      </w:r>
      <w:hyperlink r:id="rId29">
        <w:r>
          <w:rPr>
            <w:rStyle w:val="Hyperlink"/>
          </w:rPr>
          <w:t xml:space="preserve">[129]</w:t>
        </w:r>
      </w:hyperlink>
    </w:p>
    <w:bookmarkEnd w:id="78"/>
    <w:bookmarkEnd w:id="79"/>
    <w:bookmarkEnd w:id="80"/>
    <w:bookmarkEnd w:id="81"/>
    <w:p>
      <w:r>
        <w:pict>
          <v:rect style="width:0;height:1.5pt" o:hralign="center" o:hrstd="t" o:hr="t"/>
        </w:pict>
      </w:r>
    </w:p>
    <w:bookmarkStart w:id="8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[34]</w:t>
        </w:r>
      </w:hyperlink>
      <w:r>
        <w:t xml:space="preserve"> </w:t>
      </w:r>
      <w:hyperlink r:id="rId21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https://www.cdc.gov/zika/hcp/clinical-signs/index.html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https://www.cdc.gov/zika/hcp/clinical-signs/index.html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[9]</w:t>
        </w:r>
      </w:hyperlink>
      <w:r>
        <w:t xml:space="preserve"> </w:t>
      </w:r>
      <w:hyperlink r:id="rId22">
        <w:r>
          <w:rPr>
            <w:rStyle w:val="Hyperlink"/>
          </w:rPr>
          <w:t xml:space="preserve">[18]</w:t>
        </w:r>
      </w:hyperlink>
      <w:r>
        <w:t xml:space="preserve"> </w:t>
      </w:r>
      <w:hyperlink r:id="rId22">
        <w:r>
          <w:rPr>
            <w:rStyle w:val="Hyperlink"/>
          </w:rPr>
          <w:t xml:space="preserve">[20]</w:t>
        </w:r>
      </w:hyperlink>
      <w:r>
        <w:t xml:space="preserve"> </w:t>
      </w:r>
      <w:hyperlink r:id="rId22">
        <w:r>
          <w:rPr>
            <w:rStyle w:val="Hyperlink"/>
          </w:rPr>
          <w:t xml:space="preserve">[81]</w:t>
        </w:r>
      </w:hyperlink>
      <w:r>
        <w:t xml:space="preserve"> </w:t>
      </w:r>
      <w:hyperlink r:id="rId22">
        <w:r>
          <w:rPr>
            <w:rStyle w:val="Hyperlink"/>
          </w:rPr>
          <w:t xml:space="preserve">[113]</w:t>
        </w:r>
      </w:hyperlink>
      <w:r>
        <w:t xml:space="preserve"> </w:t>
      </w:r>
      <w:r>
        <w:t xml:space="preserve">https://www.cdc.gov/yellow-book/hcp/travel-associated-infections-diseases/malaria.html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https://www.cdc.gov/yellow-book/hcp/travel-associated-infections-diseases/malaria.html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[90]</w:t>
        </w:r>
      </w:hyperlink>
      <w:r>
        <w:t xml:space="preserve"> </w:t>
      </w:r>
      <w:hyperlink r:id="rId23">
        <w:r>
          <w:rPr>
            <w:rStyle w:val="Hyperlink"/>
          </w:rPr>
          <w:t xml:space="preserve">[114]</w:t>
        </w:r>
      </w:hyperlink>
      <w:r>
        <w:t xml:space="preserve"> </w:t>
      </w:r>
      <w:r>
        <w:t xml:space="preserve">https://www.cdc.gov/yellow-book/hcp/travel-associated-infections-diseases/japanese-encephalitis.html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https://www.cdc.gov/yellow-book/hcp/travel-associated-infections-diseases/japanese-encephalitis.html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https://pmc.ncbi.nlm.nih.gov/articles/PMC6073153/</w:t>
      </w:r>
    </w:p>
    <w:p>
      <w:pPr>
        <w:pStyle w:val="BodyText"/>
      </w:pPr>
      <w:hyperlink r:id="rId24">
        <w:r>
          <w:rPr>
            <w:rStyle w:val="Hyperlink"/>
          </w:rPr>
          <w:t xml:space="preserve">https://pmc.ncbi.nlm.nih.gov/articles/PMC6073153/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[39]</w:t>
        </w:r>
      </w:hyperlink>
      <w:r>
        <w:t xml:space="preserve"> </w:t>
      </w:r>
      <w:hyperlink r:id="rId25">
        <w:r>
          <w:rPr>
            <w:rStyle w:val="Hyperlink"/>
          </w:rPr>
          <w:t xml:space="preserve">[40]</w:t>
        </w:r>
      </w:hyperlink>
      <w:r>
        <w:t xml:space="preserve"> </w:t>
      </w:r>
      <w:hyperlink r:id="rId25">
        <w:r>
          <w:rPr>
            <w:rStyle w:val="Hyperlink"/>
          </w:rPr>
          <w:t xml:space="preserve">[89]</w:t>
        </w:r>
      </w:hyperlink>
      <w:r>
        <w:t xml:space="preserve"> </w:t>
      </w:r>
      <w:hyperlink r:id="rId25">
        <w:r>
          <w:rPr>
            <w:rStyle w:val="Hyperlink"/>
          </w:rPr>
          <w:t xml:space="preserve">[95]</w:t>
        </w:r>
      </w:hyperlink>
      <w:r>
        <w:t xml:space="preserve"> </w:t>
      </w:r>
      <w:hyperlink r:id="rId25">
        <w:r>
          <w:rPr>
            <w:rStyle w:val="Hyperlink"/>
          </w:rPr>
          <w:t xml:space="preserve">[109]</w:t>
        </w:r>
      </w:hyperlink>
      <w:r>
        <w:t xml:space="preserve"> </w:t>
      </w:r>
      <w:hyperlink r:id="rId25">
        <w:r>
          <w:rPr>
            <w:rStyle w:val="Hyperlink"/>
          </w:rPr>
          <w:t xml:space="preserve">[121]</w:t>
        </w:r>
      </w:hyperlink>
      <w:r>
        <w:t xml:space="preserve"> </w:t>
      </w:r>
      <w:hyperlink r:id="rId25">
        <w:r>
          <w:rPr>
            <w:rStyle w:val="Hyperlink"/>
          </w:rPr>
          <w:t xml:space="preserve">[122]</w:t>
        </w:r>
      </w:hyperlink>
      <w:r>
        <w:t xml:space="preserve"> </w:t>
      </w:r>
      <w:r>
        <w:t xml:space="preserve">https://www.who.int/news-room/fact-sheets/detail/yellow-fever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https://www.who.int/news-room/fact-sheets/detail/yellow-fever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https://www.who.int/news-room/fact-sheets/detail/malaria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https://www.who.int/news-room/fact-sheets/detail/malaria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[103]</w:t>
        </w:r>
      </w:hyperlink>
      <w:r>
        <w:t xml:space="preserve"> </w:t>
      </w:r>
      <w:hyperlink r:id="rId27">
        <w:r>
          <w:rPr>
            <w:rStyle w:val="Hyperlink"/>
          </w:rPr>
          <w:t xml:space="preserve">[126]</w:t>
        </w:r>
      </w:hyperlink>
      <w:r>
        <w:t xml:space="preserve"> </w:t>
      </w:r>
      <w:r>
        <w:t xml:space="preserve">https://wwwnc.cdc.gov/travel/notices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https://wwwnc.cdc.gov/travel/notices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[119]</w:t>
        </w:r>
      </w:hyperlink>
      <w:r>
        <w:t xml:space="preserve"> </w:t>
      </w:r>
      <w:r>
        <w:t xml:space="preserve">https://www.who.int/health-topics/malaria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https://www.who.int/health-topics/malaria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29">
        <w:r>
          <w:rPr>
            <w:rStyle w:val="Hyperlink"/>
          </w:rPr>
          <w:t xml:space="preserve">[21]</w:t>
        </w:r>
      </w:hyperlink>
      <w:r>
        <w:t xml:space="preserve"> </w:t>
      </w:r>
      <w:hyperlink r:id="rId29">
        <w:r>
          <w:rPr>
            <w:rStyle w:val="Hyperlink"/>
          </w:rPr>
          <w:t xml:space="preserve">[84]</w:t>
        </w:r>
      </w:hyperlink>
      <w:r>
        <w:t xml:space="preserve"> </w:t>
      </w:r>
      <w:hyperlink r:id="rId29">
        <w:r>
          <w:rPr>
            <w:rStyle w:val="Hyperlink"/>
          </w:rPr>
          <w:t xml:space="preserve">[93]</w:t>
        </w:r>
      </w:hyperlink>
      <w:r>
        <w:t xml:space="preserve"> </w:t>
      </w:r>
      <w:hyperlink r:id="rId29">
        <w:r>
          <w:rPr>
            <w:rStyle w:val="Hyperlink"/>
          </w:rPr>
          <w:t xml:space="preserve">[105]</w:t>
        </w:r>
      </w:hyperlink>
      <w:r>
        <w:t xml:space="preserve"> </w:t>
      </w:r>
      <w:hyperlink r:id="rId29">
        <w:r>
          <w:rPr>
            <w:rStyle w:val="Hyperlink"/>
          </w:rPr>
          <w:t xml:space="preserve">[118]</w:t>
        </w:r>
      </w:hyperlink>
      <w:r>
        <w:t xml:space="preserve"> </w:t>
      </w:r>
      <w:hyperlink r:id="rId29">
        <w:r>
          <w:rPr>
            <w:rStyle w:val="Hyperlink"/>
          </w:rPr>
          <w:t xml:space="preserve">[129]</w:t>
        </w:r>
      </w:hyperlink>
      <w:r>
        <w:t xml:space="preserve"> </w:t>
      </w:r>
      <w:r>
        <w:t xml:space="preserve">https://www.canada.ca/en/public-health/services/catmat/canadian-recommendations-prevention-treatment-malaria/chapter-6-malaria-diagnosis.html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https://www.canada.ca/en/public-health/services/catmat/canadian-recommendations-prevention-treatment-malaria/chapter-6-malaria-diagnosis.html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hyperlink r:id="rId30">
        <w:r>
          <w:rPr>
            <w:rStyle w:val="Hyperlink"/>
          </w:rPr>
          <w:t xml:space="preserve">[25]</w:t>
        </w:r>
      </w:hyperlink>
      <w:r>
        <w:t xml:space="preserve"> </w:t>
      </w:r>
      <w:hyperlink r:id="rId30">
        <w:r>
          <w:rPr>
            <w:rStyle w:val="Hyperlink"/>
          </w:rPr>
          <w:t xml:space="preserve">[96]</w:t>
        </w:r>
      </w:hyperlink>
      <w:r>
        <w:t xml:space="preserve"> </w:t>
      </w:r>
      <w:hyperlink r:id="rId30">
        <w:r>
          <w:rPr>
            <w:rStyle w:val="Hyperlink"/>
          </w:rPr>
          <w:t xml:space="preserve">[97]</w:t>
        </w:r>
      </w:hyperlink>
      <w:r>
        <w:t xml:space="preserve"> </w:t>
      </w:r>
      <w:hyperlink r:id="rId30">
        <w:r>
          <w:rPr>
            <w:rStyle w:val="Hyperlink"/>
          </w:rPr>
          <w:t xml:space="preserve">[107]</w:t>
        </w:r>
      </w:hyperlink>
      <w:r>
        <w:t xml:space="preserve"> </w:t>
      </w:r>
      <w:hyperlink r:id="rId30">
        <w:r>
          <w:rPr>
            <w:rStyle w:val="Hyperlink"/>
          </w:rPr>
          <w:t xml:space="preserve">[108]</w:t>
        </w:r>
      </w:hyperlink>
      <w:r>
        <w:t xml:space="preserve"> </w:t>
      </w:r>
      <w:hyperlink r:id="rId30">
        <w:r>
          <w:rPr>
            <w:rStyle w:val="Hyperlink"/>
          </w:rPr>
          <w:t xml:space="preserve">[116]</w:t>
        </w:r>
      </w:hyperlink>
      <w:r>
        <w:t xml:space="preserve"> </w:t>
      </w:r>
      <w:r>
        <w:t xml:space="preserve">https://www.cdc.gov/dengue/hcp/clinical-signs/index.html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https://www.cdc.gov/dengue/hcp/clinical-signs/index.html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hyperlink r:id="rId31">
        <w:r>
          <w:rPr>
            <w:rStyle w:val="Hyperlink"/>
          </w:rPr>
          <w:t xml:space="preserve">[37]</w:t>
        </w:r>
      </w:hyperlink>
      <w:r>
        <w:t xml:space="preserve"> </w:t>
      </w:r>
      <w:hyperlink r:id="rId31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https://www.cdc.gov/zika/hcp/clinical-pregnant/index.html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https://www.cdc.gov/zika/hcp/clinical-pregnant/index.html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hyperlink r:id="rId32">
        <w:r>
          <w:rPr>
            <w:rStyle w:val="Hyperlink"/>
          </w:rPr>
          <w:t xml:space="preserve">[98]</w:t>
        </w:r>
      </w:hyperlink>
      <w:r>
        <w:t xml:space="preserve"> </w:t>
      </w:r>
      <w:r>
        <w:t xml:space="preserve">https://www.cdc.gov/dengue/treatment/index.html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https://www.cdc.gov/dengue/treatment/index.html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[14]</w:t>
        </w:r>
      </w:hyperlink>
      <w:r>
        <w:t xml:space="preserve"> </w:t>
      </w:r>
      <w:hyperlink r:id="rId33">
        <w:r>
          <w:rPr>
            <w:rStyle w:val="Hyperlink"/>
          </w:rPr>
          <w:t xml:space="preserve">[47]</w:t>
        </w:r>
      </w:hyperlink>
      <w:r>
        <w:t xml:space="preserve"> </w:t>
      </w:r>
      <w:hyperlink r:id="rId33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https://health-infobase.canada.ca/zoonoses/mosquito/</w:t>
      </w:r>
    </w:p>
    <w:p>
      <w:pPr>
        <w:pStyle w:val="BodyText"/>
      </w:pPr>
      <w:hyperlink r:id="rId33">
        <w:r>
          <w:rPr>
            <w:rStyle w:val="Hyperlink"/>
          </w:rPr>
          <w:t xml:space="preserve">https://health-infobase.canada.ca/zoonoses/mosquito/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[42]</w:t>
        </w:r>
      </w:hyperlink>
      <w:r>
        <w:t xml:space="preserve"> </w:t>
      </w:r>
      <w:hyperlink r:id="rId36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https://www.canada.ca/en/public-health/services/publications/healthy-living/canadian-immunization-guide-part-4-active-vaccines/page-11-japanese-encephalitis-vaccine.html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https://www.canada.ca/en/public-health/services/publications/healthy-living/canadian-immunization-guide-part-4-active-vaccines/page-11-japanese-encephalitis-vaccine.html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https://www.publichealthontario.ca/en/Diseases-and-Conditions/Infectious-Diseases/Vector-Borne-Zoonotic-Diseases/Malaria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https://www.publichealthontario.ca/en/Diseases-and-Conditions/Infectious-Diseases/Vector-Borne-Zoonotic-Diseases/Malaria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38">
        <w:r>
          <w:rPr>
            <w:rStyle w:val="Hyperlink"/>
          </w:rPr>
          <w:t xml:space="preserve">[104]</w:t>
        </w:r>
      </w:hyperlink>
      <w:r>
        <w:t xml:space="preserve"> </w:t>
      </w:r>
      <w:r>
        <w:t xml:space="preserve">https://www.cdc.gov/malaria/hcp/clinical-features/index.html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https://www.cdc.gov/malaria/hcp/clinical-features/index.html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[22]</w:t>
        </w:r>
      </w:hyperlink>
      <w:r>
        <w:t xml:space="preserve"> </w:t>
      </w:r>
      <w:hyperlink r:id="rId39">
        <w:r>
          <w:rPr>
            <w:rStyle w:val="Hyperlink"/>
          </w:rPr>
          <w:t xml:space="preserve">[26]</w:t>
        </w:r>
      </w:hyperlink>
      <w:r>
        <w:t xml:space="preserve"> </w:t>
      </w:r>
      <w:hyperlink r:id="rId39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https://travel.gc.ca/travelling/health-safety/travel-health-notices/517</w:t>
      </w:r>
    </w:p>
    <w:p>
      <w:pPr>
        <w:pStyle w:val="BodyText"/>
      </w:pPr>
      <w:hyperlink r:id="rId39">
        <w:r>
          <w:rPr>
            <w:rStyle w:val="Hyperlink"/>
          </w:rPr>
          <w:t xml:space="preserve">https://travel.gc.ca/travelling/health-safety/travel-health-notices/517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[23]</w:t>
        </w:r>
      </w:hyperlink>
      <w:r>
        <w:t xml:space="preserve"> </w:t>
      </w:r>
      <w:hyperlink r:id="rId40">
        <w:r>
          <w:rPr>
            <w:rStyle w:val="Hyperlink"/>
          </w:rPr>
          <w:t xml:space="preserve">[24]</w:t>
        </w:r>
      </w:hyperlink>
      <w:r>
        <w:t xml:space="preserve"> </w:t>
      </w:r>
      <w:hyperlink r:id="rId40">
        <w:r>
          <w:rPr>
            <w:rStyle w:val="Hyperlink"/>
          </w:rPr>
          <w:t xml:space="preserve">[86]</w:t>
        </w:r>
      </w:hyperlink>
      <w:r>
        <w:t xml:space="preserve"> </w:t>
      </w:r>
      <w:r>
        <w:t xml:space="preserve">https://www.who.int/news-room/fact-sheets/detail/dengue-and-severe-dengue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https://www.who.int/news-room/fact-sheets/detail/dengue-and-severe-dengue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[27]</w:t>
        </w:r>
      </w:hyperlink>
      <w:r>
        <w:t xml:space="preserve"> </w:t>
      </w:r>
      <w:hyperlink r:id="rId41">
        <w:r>
          <w:rPr>
            <w:rStyle w:val="Hyperlink"/>
          </w:rPr>
          <w:t xml:space="preserve">[99]</w:t>
        </w:r>
      </w:hyperlink>
      <w:r>
        <w:t xml:space="preserve"> </w:t>
      </w:r>
      <w:r>
        <w:t xml:space="preserve">https://www.cdc.gov/dengue/hcp/clinical-care/index.html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https://www.cdc.gov/dengue/hcp/clinical-care/index.html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https://www.canada.ca/en/public-health/services/diseases/chikungunya/health-professionals-chikungunya.html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https://www.canada.ca/en/public-health/services/diseases/chikungunya/health-professionals-chikungunya.html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https://www.cdc.gov/chikungunya/hcp/clinical-signs/index.html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https://www.cdc.gov/chikungunya/hcp/clinical-signs/index.html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[30]</w:t>
        </w:r>
      </w:hyperlink>
      <w:r>
        <w:t xml:space="preserve"> </w:t>
      </w:r>
      <w:hyperlink r:id="rId44">
        <w:r>
          <w:rPr>
            <w:rStyle w:val="Hyperlink"/>
          </w:rPr>
          <w:t xml:space="preserve">[31]</w:t>
        </w:r>
      </w:hyperlink>
      <w:r>
        <w:t xml:space="preserve"> </w:t>
      </w:r>
      <w:hyperlink r:id="rId44">
        <w:r>
          <w:rPr>
            <w:rStyle w:val="Hyperlink"/>
          </w:rPr>
          <w:t xml:space="preserve">[111]</w:t>
        </w:r>
      </w:hyperlink>
      <w:r>
        <w:t xml:space="preserve"> </w:t>
      </w:r>
      <w:r>
        <w:t xml:space="preserve">https://www.cdc.gov/chikungunya/symptoms-diagnosis-treatment/index.html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https://www.cdc.gov/chikungunya/symptoms-diagnosis-treatment/index.html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[32]</w:t>
        </w:r>
      </w:hyperlink>
      <w:r>
        <w:t xml:space="preserve"> </w:t>
      </w:r>
      <w:hyperlink r:id="rId45">
        <w:r>
          <w:rPr>
            <w:rStyle w:val="Hyperlink"/>
          </w:rPr>
          <w:t xml:space="preserve">[91]</w:t>
        </w:r>
      </w:hyperlink>
      <w:r>
        <w:t xml:space="preserve"> </w:t>
      </w:r>
      <w:r>
        <w:t xml:space="preserve">https://www.canada.ca/en/public-health/services/catmat/recommendations-use-chikungunya-vaccine.html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https://www.canada.ca/en/public-health/services/catmat/recommendations-use-chikungunya-vaccine.html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https://wwwnc.cdc.gov/travel/page/zika-information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https://wwwnc.cdc.gov/travel/page/zika-information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[36]</w:t>
        </w:r>
      </w:hyperlink>
      <w:r>
        <w:t xml:space="preserve"> </w:t>
      </w:r>
      <w:hyperlink r:id="rId47">
        <w:r>
          <w:rPr>
            <w:rStyle w:val="Hyperlink"/>
          </w:rPr>
          <w:t xml:space="preserve">[87]</w:t>
        </w:r>
      </w:hyperlink>
      <w:r>
        <w:t xml:space="preserve"> </w:t>
      </w:r>
      <w:hyperlink r:id="rId47">
        <w:r>
          <w:rPr>
            <w:rStyle w:val="Hyperlink"/>
          </w:rPr>
          <w:t xml:space="preserve">[100]</w:t>
        </w:r>
      </w:hyperlink>
      <w:r>
        <w:t xml:space="preserve"> </w:t>
      </w:r>
      <w:hyperlink r:id="rId47">
        <w:r>
          <w:rPr>
            <w:rStyle w:val="Hyperlink"/>
          </w:rPr>
          <w:t xml:space="preserve">[110]</w:t>
        </w:r>
      </w:hyperlink>
      <w:r>
        <w:t xml:space="preserve"> </w:t>
      </w:r>
      <w:hyperlink r:id="rId47">
        <w:r>
          <w:rPr>
            <w:rStyle w:val="Hyperlink"/>
          </w:rPr>
          <w:t xml:space="preserve">[123]</w:t>
        </w:r>
      </w:hyperlink>
      <w:r>
        <w:t xml:space="preserve"> </w:t>
      </w:r>
      <w:r>
        <w:t xml:space="preserve">https://www.cdc.gov/zika/czs/index.html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https://www.cdc.gov/zika/czs/index.html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https://www.who.int/docs/default-source/documents/emergencies/travel-advice/extension-to-life-on-yellow-fever-vaccination-en.pdf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https://www.who.int/docs/default-source/documents/emergencies/travel-advice/extension-to-life-on-yellow-fever-vaccination-en.pdf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[43]</w:t>
        </w:r>
      </w:hyperlink>
      <w:r>
        <w:t xml:space="preserve"> </w:t>
      </w:r>
      <w:hyperlink r:id="rId49">
        <w:r>
          <w:rPr>
            <w:rStyle w:val="Hyperlink"/>
          </w:rPr>
          <w:t xml:space="preserve">[44]</w:t>
        </w:r>
      </w:hyperlink>
      <w:r>
        <w:t xml:space="preserve"> </w:t>
      </w:r>
      <w:hyperlink r:id="rId49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https://www.cdc.gov/japanese-encephalitis/symptoms-diagnosis-treatment/index.html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https://www.cdc.gov/japanese-encephalitis/symptoms-diagnosis-treatment/index.html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[48]</w:t>
        </w:r>
      </w:hyperlink>
      <w:r>
        <w:t xml:space="preserve"> </w:t>
      </w:r>
      <w:hyperlink r:id="rId50">
        <w:r>
          <w:rPr>
            <w:rStyle w:val="Hyperlink"/>
          </w:rPr>
          <w:t xml:space="preserve">[101]</w:t>
        </w:r>
      </w:hyperlink>
      <w:r>
        <w:t xml:space="preserve"> </w:t>
      </w:r>
      <w:hyperlink r:id="rId50">
        <w:r>
          <w:rPr>
            <w:rStyle w:val="Hyperlink"/>
          </w:rPr>
          <w:t xml:space="preserve">[112]</w:t>
        </w:r>
      </w:hyperlink>
      <w:r>
        <w:t xml:space="preserve"> </w:t>
      </w:r>
      <w:r>
        <w:t xml:space="preserve">https://www.cdc.gov/west-nile-virus/hcp/clinical-signs/index.html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https://www.cdc.gov/west-nile-virus/hcp/clinical-signs/index.html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https://www.who.int/news-room/fact-sheets/detail/west-nile-virus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https://www.who.int/news-room/fact-sheets/detail/west-nile-virus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[50]</w:t>
        </w:r>
      </w:hyperlink>
      <w:r>
        <w:t xml:space="preserve"> </w:t>
      </w:r>
      <w:hyperlink r:id="rId52">
        <w:r>
          <w:rPr>
            <w:rStyle w:val="Hyperlink"/>
          </w:rPr>
          <w:t xml:space="preserve">[94]</w:t>
        </w:r>
      </w:hyperlink>
      <w:r>
        <w:t xml:space="preserve"> </w:t>
      </w:r>
      <w:hyperlink r:id="rId52">
        <w:r>
          <w:rPr>
            <w:rStyle w:val="Hyperlink"/>
          </w:rPr>
          <w:t xml:space="preserve">[106]</w:t>
        </w:r>
      </w:hyperlink>
      <w:r>
        <w:t xml:space="preserve"> </w:t>
      </w:r>
      <w:hyperlink r:id="rId52">
        <w:r>
          <w:rPr>
            <w:rStyle w:val="Hyperlink"/>
          </w:rPr>
          <w:t xml:space="preserve">[117]</w:t>
        </w:r>
      </w:hyperlink>
      <w:r>
        <w:t xml:space="preserve"> </w:t>
      </w:r>
      <w:hyperlink r:id="rId52">
        <w:r>
          <w:rPr>
            <w:rStyle w:val="Hyperlink"/>
          </w:rPr>
          <w:t xml:space="preserve">[120]</w:t>
        </w:r>
      </w:hyperlink>
      <w:r>
        <w:t xml:space="preserve"> </w:t>
      </w:r>
      <w:r>
        <w:t xml:space="preserve">https://www.cdc.gov/west-nile-virus/symptoms-diagnosis-treatment/index.html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https://www.cdc.gov/west-nile-virus/symptoms-diagnosis-treatment/index.html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https://www.ottawapublichealth.ca/en/professionals-and-partners/hcp-west-nile-virus.aspx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https://www.ottawapublichealth.ca/en/professionals-and-partners/hcp-west-nile-virus.aspx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[52]</w:t>
        </w:r>
      </w:hyperlink>
      <w:r>
        <w:t xml:space="preserve"> </w:t>
      </w:r>
      <w:hyperlink r:id="rId54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https://www.cdc.gov/sle/symptoms-diagnosis-treatment/index.html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https://www.cdc.gov/sle/symptoms-diagnosis-treatment/index.html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[53]</w:t>
        </w:r>
      </w:hyperlink>
      <w:r>
        <w:t xml:space="preserve"> </w:t>
      </w:r>
      <w:hyperlink r:id="rId55">
        <w:r>
          <w:rPr>
            <w:rStyle w:val="Hyperlink"/>
          </w:rPr>
          <w:t xml:space="preserve">[54]</w:t>
        </w:r>
      </w:hyperlink>
      <w:r>
        <w:t xml:space="preserve"> </w:t>
      </w:r>
      <w:hyperlink r:id="rId55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https://www.cdc.gov/sle/hcp/clinical-signs/index.html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https://www.cdc.gov/sle/hcp/clinical-signs/index.html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[57]</w:t>
        </w:r>
      </w:hyperlink>
      <w:r>
        <w:t xml:space="preserve"> </w:t>
      </w:r>
      <w:hyperlink r:id="rId56">
        <w:r>
          <w:rPr>
            <w:rStyle w:val="Hyperlink"/>
          </w:rPr>
          <w:t xml:space="preserve">[58]</w:t>
        </w:r>
      </w:hyperlink>
      <w:r>
        <w:t xml:space="preserve"> </w:t>
      </w:r>
      <w:hyperlink r:id="rId56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https://www.cdc.gov/eastern-equine-encephalitis/hcp/clinical-signs/index.html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https://www.cdc.gov/eastern-equine-encephalitis/hcp/clinical-signs/index.html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https://www.cdc.gov/wee/about/index.html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https://www.cdc.gov/wee/about/index.html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[61]</w:t>
        </w:r>
      </w:hyperlink>
      <w:r>
        <w:t xml:space="preserve"> </w:t>
      </w:r>
      <w:hyperlink r:id="rId58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https://www.cdc.gov/wee/hcp/clinical-diagnosis-treatment/index.html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https://www.cdc.gov/wee/hcp/clinical-diagnosis-treatment/index.html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[62]</w:t>
        </w:r>
      </w:hyperlink>
      <w:r>
        <w:t xml:space="preserve"> </w:t>
      </w:r>
      <w:hyperlink r:id="rId59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https://www.cdc.gov/wee/symptoms-diagnosis-treatment/index.html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https://www.cdc.gov/wee/symptoms-diagnosis-treatment/index.html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[65]</w:t>
        </w:r>
      </w:hyperlink>
      <w:r>
        <w:t xml:space="preserve"> </w:t>
      </w:r>
      <w:hyperlink r:id="rId60">
        <w:r>
          <w:rPr>
            <w:rStyle w:val="Hyperlink"/>
          </w:rPr>
          <w:t xml:space="preserve">[66]</w:t>
        </w:r>
      </w:hyperlink>
      <w:r>
        <w:t xml:space="preserve"> </w:t>
      </w:r>
      <w:hyperlink r:id="rId60">
        <w:r>
          <w:rPr>
            <w:rStyle w:val="Hyperlink"/>
          </w:rPr>
          <w:t xml:space="preserve">[68]</w:t>
        </w:r>
      </w:hyperlink>
      <w:r>
        <w:t xml:space="preserve"> </w:t>
      </w:r>
      <w:hyperlink r:id="rId60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https://www.who.int/news-room/fact-sheets/detail/rift-valley-fever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https://www.who.int/news-room/fact-sheets/detail/rift-valley-fever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https://www.who.int/docs/default-source/documents/emergencies/rift-valley-fever/rvf-presentation.pdf?sfvrsn=9ab8f0d3_4</w:t>
      </w:r>
    </w:p>
    <w:p>
      <w:pPr>
        <w:pStyle w:val="BodyText"/>
      </w:pPr>
      <w:hyperlink r:id="rId61">
        <w:r>
          <w:rPr>
            <w:rStyle w:val="Hyperlink"/>
          </w:rPr>
          <w:t xml:space="preserve">https://www.who.int/docs/default-source/documents/emergencies/rift-valley-fever/rvf-presentation.pdf?sfvrsn=9ab8f0d3_4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https://www.health.vic.gov.au/infectious-diseases/murray-valley-encephalitis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https://www.health.vic.gov.au/infectious-diseases/murray-valley-encephalitis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https://health.nt.gov.au/media/pdf/phu/cdc-factsheets/murray-valley-encephalitis-nt-health-factsheet.pdf</w:t>
      </w:r>
    </w:p>
    <w:p>
      <w:pPr>
        <w:pStyle w:val="BodyText"/>
      </w:pPr>
      <w:hyperlink r:id="rId63">
        <w:r>
          <w:rPr>
            <w:rStyle w:val="Hyperlink"/>
          </w:rPr>
          <w:t xml:space="preserve">https://health.nt.gov.au/media/pdf/phu/cdc-factsheets/murray-valley-encephalitis-nt-health-factsheet.pdf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https://www.healthywa.wa.gov.au/Articles/J_M/Murray-Valley-encephalitis-and-Kunjin-viruses</w:t>
      </w:r>
    </w:p>
    <w:p>
      <w:pPr>
        <w:pStyle w:val="BodyText"/>
      </w:pPr>
      <w:hyperlink r:id="rId64">
        <w:r>
          <w:rPr>
            <w:rStyle w:val="Hyperlink"/>
          </w:rPr>
          <w:t xml:space="preserve">https://www.healthywa.wa.gov.au/Articles/J_M/Murray-Valley-encephalitis-and-Kunjin-viruses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https://www.health.wa.gov.au/Media-releases/2025/March/WA-Health-confirms-third-mosquito-borne-virus-case-in-northern-WA</w:t>
      </w:r>
    </w:p>
    <w:p>
      <w:pPr>
        <w:pStyle w:val="BodyText"/>
      </w:pPr>
      <w:hyperlink r:id="rId65">
        <w:r>
          <w:rPr>
            <w:rStyle w:val="Hyperlink"/>
          </w:rPr>
          <w:t xml:space="preserve">https://www.health.wa.gov.au/Media-releases/2025/March/WA-Health-confirms-third-mosquito-borne-virus-case-in-northern-WA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[75]</w:t>
        </w:r>
      </w:hyperlink>
      <w:r>
        <w:t xml:space="preserve"> </w:t>
      </w:r>
      <w:hyperlink r:id="rId66">
        <w:r>
          <w:rPr>
            <w:rStyle w:val="Hyperlink"/>
          </w:rPr>
          <w:t xml:space="preserve">[76]</w:t>
        </w:r>
      </w:hyperlink>
      <w:r>
        <w:t xml:space="preserve"> </w:t>
      </w:r>
      <w:hyperlink r:id="rId66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https://www.health.nsw.gov.au/Infectious/factsheets/Pages/ross-river-fever.aspx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https://www.health.nsw.gov.au/Infectious/factsheets/Pages/ross-river-fever.aspx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[78]</w:t>
        </w:r>
      </w:hyperlink>
      <w:r>
        <w:t xml:space="preserve"> </w:t>
      </w:r>
      <w:hyperlink r:id="rId67">
        <w:r>
          <w:rPr>
            <w:rStyle w:val="Hyperlink"/>
          </w:rPr>
          <w:t xml:space="preserve">[79]</w:t>
        </w:r>
      </w:hyperlink>
      <w:r>
        <w:t xml:space="preserve"> </w:t>
      </w:r>
      <w:hyperlink r:id="rId67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https://www.healthdirect.gov.au/ross-river-virus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https://www.healthdirect.gov.au/ross-river-virus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[83]</w:t>
        </w:r>
      </w:hyperlink>
      <w:r>
        <w:t xml:space="preserve"> </w:t>
      </w:r>
      <w:hyperlink r:id="rId69">
        <w:r>
          <w:rPr>
            <w:rStyle w:val="Hyperlink"/>
          </w:rPr>
          <w:t xml:space="preserve">[102]</w:t>
        </w:r>
      </w:hyperlink>
      <w:r>
        <w:t xml:space="preserve"> </w:t>
      </w:r>
      <w:hyperlink r:id="rId69">
        <w:r>
          <w:rPr>
            <w:rStyle w:val="Hyperlink"/>
          </w:rPr>
          <w:t xml:space="preserve">[115]</w:t>
        </w:r>
      </w:hyperlink>
      <w:r>
        <w:t xml:space="preserve"> </w:t>
      </w:r>
      <w:r>
        <w:t xml:space="preserve">https://www.canada.ca/en/public-health/services/catmat/appendix-1-malaria-risk-recommended-chemoprophylaxis-geographic-area.html</w:t>
      </w:r>
    </w:p>
    <w:p>
      <w:pPr>
        <w:pStyle w:val="BodyText"/>
      </w:pPr>
      <w:hyperlink r:id="rId69">
        <w:r>
          <w:rPr>
            <w:rStyle w:val="Hyperlink"/>
          </w:rPr>
          <w:t xml:space="preserve">https://www.canada.ca/en/public-health/services/catmat/appendix-1-malaria-risk-recommended-chemoprophylaxis-geographic-area.html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[88]</w:t>
        </w:r>
      </w:hyperlink>
      <w:r>
        <w:t xml:space="preserve"> </w:t>
      </w:r>
      <w:hyperlink r:id="rId70">
        <w:r>
          <w:rPr>
            <w:rStyle w:val="Hyperlink"/>
          </w:rPr>
          <w:t xml:space="preserve">[127]</w:t>
        </w:r>
      </w:hyperlink>
      <w:r>
        <w:t xml:space="preserve"> </w:t>
      </w:r>
      <w:r>
        <w:t xml:space="preserve">https://www.who.int/travel-advice</w:t>
      </w:r>
    </w:p>
    <w:p>
      <w:pPr>
        <w:pStyle w:val="BodyText"/>
      </w:pPr>
      <w:hyperlink r:id="rId70">
        <w:r>
          <w:rPr>
            <w:rStyle w:val="Hyperlink"/>
          </w:rPr>
          <w:t xml:space="preserve">https://www.who.int/travel-advice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[92]</w:t>
        </w:r>
      </w:hyperlink>
      <w:r>
        <w:t xml:space="preserve"> </w:t>
      </w:r>
      <w:hyperlink r:id="rId72">
        <w:r>
          <w:rPr>
            <w:rStyle w:val="Hyperlink"/>
          </w:rPr>
          <w:t xml:space="preserve">[124]</w:t>
        </w:r>
      </w:hyperlink>
      <w:r>
        <w:t xml:space="preserve"> </w:t>
      </w:r>
      <w:r>
        <w:t xml:space="preserve">https://www.cdc.gov/yellow-book/hcp/post-travel-evaluation/post-travel-evaluation-of-the-ill-traveler.html</w:t>
      </w:r>
    </w:p>
    <w:p>
      <w:pPr>
        <w:pStyle w:val="BodyText"/>
      </w:pPr>
      <w:hyperlink r:id="rId72">
        <w:r>
          <w:rPr>
            <w:rStyle w:val="Hyperlink"/>
          </w:rPr>
          <w:t xml:space="preserve">https://www.cdc.gov/yellow-book/hcp/post-travel-evaluation/post-travel-evaluation-of-the-ill-traveler.html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[125]</w:t>
        </w:r>
      </w:hyperlink>
      <w:r>
        <w:t xml:space="preserve"> </w:t>
      </w:r>
      <w:r>
        <w:t xml:space="preserve">https://travel.gc.ca/travelling/health-safety/travel-health-notices</w:t>
      </w:r>
    </w:p>
    <w:p>
      <w:pPr>
        <w:pStyle w:val="BodyText"/>
      </w:pPr>
      <w:hyperlink r:id="rId76">
        <w:r>
          <w:rPr>
            <w:rStyle w:val="Hyperlink"/>
          </w:rPr>
          <w:t xml:space="preserve">https://travel.gc.ca/travelling/health-safety/travel-health-notices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[128]</w:t>
        </w:r>
      </w:hyperlink>
      <w:r>
        <w:t xml:space="preserve"> </w:t>
      </w:r>
      <w:r>
        <w:t xml:space="preserve">https://www.ecdc.europa.eu/en/dengue-monthly</w:t>
      </w:r>
    </w:p>
    <w:p>
      <w:pPr>
        <w:pStyle w:val="BodyText"/>
      </w:pPr>
      <w:hyperlink r:id="rId77">
        <w:r>
          <w:rPr>
            <w:rStyle w:val="Hyperlink"/>
          </w:rPr>
          <w:t xml:space="preserve">https://www.ecdc.europa.eu/en/dengue-monthly</w:t>
        </w:r>
      </w:hyperlink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health-infobase.canada.ca/zoonoses/mosquito/" TargetMode="External" /><Relationship Type="http://schemas.openxmlformats.org/officeDocument/2006/relationships/hyperlink" Id="rId63" Target="https://health.nt.gov.au/media/pdf/phu/cdc-factsheets/murray-valley-encephalitis-nt-health-factsheet.pdf" TargetMode="External" /><Relationship Type="http://schemas.openxmlformats.org/officeDocument/2006/relationships/hyperlink" Id="rId24" Target="https://pmc.ncbi.nlm.nih.gov/articles/PMC6073153/" TargetMode="External" /><Relationship Type="http://schemas.openxmlformats.org/officeDocument/2006/relationships/hyperlink" Id="rId76" Target="https://travel.gc.ca/travelling/health-safety/travel-health-notices" TargetMode="External" /><Relationship Type="http://schemas.openxmlformats.org/officeDocument/2006/relationships/hyperlink" Id="rId39" Target="https://travel.gc.ca/travelling/health-safety/travel-health-notices/517" TargetMode="External" /><Relationship Type="http://schemas.openxmlformats.org/officeDocument/2006/relationships/hyperlink" Id="rId69" Target="https://www.canada.ca/en/public-health/services/catmat/appendix-1-malaria-risk-recommended-chemoprophylaxis-geographic-area.html" TargetMode="External" /><Relationship Type="http://schemas.openxmlformats.org/officeDocument/2006/relationships/hyperlink" Id="rId29" Target="https://www.canada.ca/en/public-health/services/catmat/canadian-recommendations-prevention-treatment-malaria/chapter-6-malaria-diagnosis.html" TargetMode="External" /><Relationship Type="http://schemas.openxmlformats.org/officeDocument/2006/relationships/hyperlink" Id="rId45" Target="https://www.canada.ca/en/public-health/services/catmat/recommendations-use-chikungunya-vaccine.html" TargetMode="External" /><Relationship Type="http://schemas.openxmlformats.org/officeDocument/2006/relationships/hyperlink" Id="rId42" Target="https://www.canada.ca/en/public-health/services/diseases/chikungunya/health-professionals-chikungunya.html" TargetMode="External" /><Relationship Type="http://schemas.openxmlformats.org/officeDocument/2006/relationships/hyperlink" Id="rId36" Target="https://www.canada.ca/en/public-health/services/publications/healthy-living/canadian-immunization-guide-part-4-active-vaccines/page-11-japanese-encephalitis-vaccine.html" TargetMode="External" /><Relationship Type="http://schemas.openxmlformats.org/officeDocument/2006/relationships/hyperlink" Id="rId43" Target="https://www.cdc.gov/chikungunya/hcp/clinical-signs/index.html" TargetMode="External" /><Relationship Type="http://schemas.openxmlformats.org/officeDocument/2006/relationships/hyperlink" Id="rId44" Target="https://www.cdc.gov/chikungunya/symptoms-diagnosis-treatment/index.html" TargetMode="External" /><Relationship Type="http://schemas.openxmlformats.org/officeDocument/2006/relationships/hyperlink" Id="rId41" Target="https://www.cdc.gov/dengue/hcp/clinical-care/index.html" TargetMode="External" /><Relationship Type="http://schemas.openxmlformats.org/officeDocument/2006/relationships/hyperlink" Id="rId30" Target="https://www.cdc.gov/dengue/hcp/clinical-signs/index.html" TargetMode="External" /><Relationship Type="http://schemas.openxmlformats.org/officeDocument/2006/relationships/hyperlink" Id="rId32" Target="https://www.cdc.gov/dengue/treatment/index.html" TargetMode="External" /><Relationship Type="http://schemas.openxmlformats.org/officeDocument/2006/relationships/hyperlink" Id="rId56" Target="https://www.cdc.gov/eastern-equine-encephalitis/hcp/clinical-signs/index.html" TargetMode="External" /><Relationship Type="http://schemas.openxmlformats.org/officeDocument/2006/relationships/hyperlink" Id="rId49" Target="https://www.cdc.gov/japanese-encephalitis/symptoms-diagnosis-treatment/index.html" TargetMode="External" /><Relationship Type="http://schemas.openxmlformats.org/officeDocument/2006/relationships/hyperlink" Id="rId38" Target="https://www.cdc.gov/malaria/hcp/clinical-features/index.html" TargetMode="External" /><Relationship Type="http://schemas.openxmlformats.org/officeDocument/2006/relationships/hyperlink" Id="rId55" Target="https://www.cdc.gov/sle/hcp/clinical-signs/index.html" TargetMode="External" /><Relationship Type="http://schemas.openxmlformats.org/officeDocument/2006/relationships/hyperlink" Id="rId54" Target="https://www.cdc.gov/sle/symptoms-diagnosis-treatment/index.html" TargetMode="External" /><Relationship Type="http://schemas.openxmlformats.org/officeDocument/2006/relationships/hyperlink" Id="rId57" Target="https://www.cdc.gov/wee/about/index.html" TargetMode="External" /><Relationship Type="http://schemas.openxmlformats.org/officeDocument/2006/relationships/hyperlink" Id="rId58" Target="https://www.cdc.gov/wee/hcp/clinical-diagnosis-treatment/index.html" TargetMode="External" /><Relationship Type="http://schemas.openxmlformats.org/officeDocument/2006/relationships/hyperlink" Id="rId59" Target="https://www.cdc.gov/wee/symptoms-diagnosis-treatment/index.html" TargetMode="External" /><Relationship Type="http://schemas.openxmlformats.org/officeDocument/2006/relationships/hyperlink" Id="rId50" Target="https://www.cdc.gov/west-nile-virus/hcp/clinical-signs/index.html" TargetMode="External" /><Relationship Type="http://schemas.openxmlformats.org/officeDocument/2006/relationships/hyperlink" Id="rId52" Target="https://www.cdc.gov/west-nile-virus/symptoms-diagnosis-treatment/index.html" TargetMode="External" /><Relationship Type="http://schemas.openxmlformats.org/officeDocument/2006/relationships/hyperlink" Id="rId72" Target="https://www.cdc.gov/yellow-book/hcp/post-travel-evaluation/post-travel-evaluation-of-the-ill-traveler.html" TargetMode="External" /><Relationship Type="http://schemas.openxmlformats.org/officeDocument/2006/relationships/hyperlink" Id="rId23" Target="https://www.cdc.gov/yellow-book/hcp/travel-associated-infections-diseases/japanese-encephalitis.html" TargetMode="External" /><Relationship Type="http://schemas.openxmlformats.org/officeDocument/2006/relationships/hyperlink" Id="rId22" Target="https://www.cdc.gov/yellow-book/hcp/travel-associated-infections-diseases/malaria.html" TargetMode="External" /><Relationship Type="http://schemas.openxmlformats.org/officeDocument/2006/relationships/hyperlink" Id="rId47" Target="https://www.cdc.gov/zika/czs/index.html" TargetMode="External" /><Relationship Type="http://schemas.openxmlformats.org/officeDocument/2006/relationships/hyperlink" Id="rId31" Target="https://www.cdc.gov/zika/hcp/clinical-pregnant/index.html" TargetMode="External" /><Relationship Type="http://schemas.openxmlformats.org/officeDocument/2006/relationships/hyperlink" Id="rId21" Target="https://www.cdc.gov/zika/hcp/clinical-signs/index.html" TargetMode="External" /><Relationship Type="http://schemas.openxmlformats.org/officeDocument/2006/relationships/hyperlink" Id="rId77" Target="https://www.ecdc.europa.eu/en/dengue-monthly" TargetMode="External" /><Relationship Type="http://schemas.openxmlformats.org/officeDocument/2006/relationships/hyperlink" Id="rId66" Target="https://www.health.nsw.gov.au/Infectious/factsheets/Pages/ross-river-fever.aspx" TargetMode="External" /><Relationship Type="http://schemas.openxmlformats.org/officeDocument/2006/relationships/hyperlink" Id="rId62" Target="https://www.health.vic.gov.au/infectious-diseases/murray-valley-encephalitis" TargetMode="External" /><Relationship Type="http://schemas.openxmlformats.org/officeDocument/2006/relationships/hyperlink" Id="rId65" Target="https://www.health.wa.gov.au/Media-releases/2025/March/WA-Health-confirms-third-mosquito-borne-virus-case-in-northern-WA" TargetMode="External" /><Relationship Type="http://schemas.openxmlformats.org/officeDocument/2006/relationships/hyperlink" Id="rId67" Target="https://www.healthdirect.gov.au/ross-river-virus" TargetMode="External" /><Relationship Type="http://schemas.openxmlformats.org/officeDocument/2006/relationships/hyperlink" Id="rId64" Target="https://www.healthywa.wa.gov.au/Articles/J_M/Murray-Valley-encephalitis-and-Kunjin-viruses" TargetMode="External" /><Relationship Type="http://schemas.openxmlformats.org/officeDocument/2006/relationships/hyperlink" Id="rId53" Target="https://www.ottawapublichealth.ca/en/professionals-and-partners/hcp-west-nile-virus.aspx" TargetMode="External" /><Relationship Type="http://schemas.openxmlformats.org/officeDocument/2006/relationships/hyperlink" Id="rId37" Target="https://www.publichealthontario.ca/en/Diseases-and-Conditions/Infectious-Diseases/Vector-Borne-Zoonotic-Diseases/Malaria" TargetMode="External" /><Relationship Type="http://schemas.openxmlformats.org/officeDocument/2006/relationships/hyperlink" Id="rId61" Target="https://www.who.int/docs/default-source/documents/emergencies/rift-valley-fever/rvf-presentation.pdf?sfvrsn=9ab8f0d3_4" TargetMode="External" /><Relationship Type="http://schemas.openxmlformats.org/officeDocument/2006/relationships/hyperlink" Id="rId48" Target="https://www.who.int/docs/default-source/documents/emergencies/travel-advice/extension-to-life-on-yellow-fever-vaccination-en.pdf" TargetMode="External" /><Relationship Type="http://schemas.openxmlformats.org/officeDocument/2006/relationships/hyperlink" Id="rId28" Target="https://www.who.int/health-topics/malaria" TargetMode="External" /><Relationship Type="http://schemas.openxmlformats.org/officeDocument/2006/relationships/hyperlink" Id="rId40" Target="https://www.who.int/news-room/fact-sheets/detail/dengue-and-severe-dengue" TargetMode="External" /><Relationship Type="http://schemas.openxmlformats.org/officeDocument/2006/relationships/hyperlink" Id="rId26" Target="https://www.who.int/news-room/fact-sheets/detail/malaria" TargetMode="External" /><Relationship Type="http://schemas.openxmlformats.org/officeDocument/2006/relationships/hyperlink" Id="rId60" Target="https://www.who.int/news-room/fact-sheets/detail/rift-valley-fever" TargetMode="External" /><Relationship Type="http://schemas.openxmlformats.org/officeDocument/2006/relationships/hyperlink" Id="rId51" Target="https://www.who.int/news-room/fact-sheets/detail/west-nile-virus" TargetMode="External" /><Relationship Type="http://schemas.openxmlformats.org/officeDocument/2006/relationships/hyperlink" Id="rId25" Target="https://www.who.int/news-room/fact-sheets/detail/yellow-fever" TargetMode="External" /><Relationship Type="http://schemas.openxmlformats.org/officeDocument/2006/relationships/hyperlink" Id="rId70" Target="https://www.who.int/travel-advice" TargetMode="External" /><Relationship Type="http://schemas.openxmlformats.org/officeDocument/2006/relationships/hyperlink" Id="rId27" Target="https://wwwnc.cdc.gov/travel/notices" TargetMode="External" /><Relationship Type="http://schemas.openxmlformats.org/officeDocument/2006/relationships/hyperlink" Id="rId46" Target="https://wwwnc.cdc.gov/travel/page/zika-inform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health-infobase.canada.ca/zoonoses/mosquito/" TargetMode="External" /><Relationship Type="http://schemas.openxmlformats.org/officeDocument/2006/relationships/hyperlink" Id="rId63" Target="https://health.nt.gov.au/media/pdf/phu/cdc-factsheets/murray-valley-encephalitis-nt-health-factsheet.pdf" TargetMode="External" /><Relationship Type="http://schemas.openxmlformats.org/officeDocument/2006/relationships/hyperlink" Id="rId24" Target="https://pmc.ncbi.nlm.nih.gov/articles/PMC6073153/" TargetMode="External" /><Relationship Type="http://schemas.openxmlformats.org/officeDocument/2006/relationships/hyperlink" Id="rId76" Target="https://travel.gc.ca/travelling/health-safety/travel-health-notices" TargetMode="External" /><Relationship Type="http://schemas.openxmlformats.org/officeDocument/2006/relationships/hyperlink" Id="rId39" Target="https://travel.gc.ca/travelling/health-safety/travel-health-notices/517" TargetMode="External" /><Relationship Type="http://schemas.openxmlformats.org/officeDocument/2006/relationships/hyperlink" Id="rId69" Target="https://www.canada.ca/en/public-health/services/catmat/appendix-1-malaria-risk-recommended-chemoprophylaxis-geographic-area.html" TargetMode="External" /><Relationship Type="http://schemas.openxmlformats.org/officeDocument/2006/relationships/hyperlink" Id="rId29" Target="https://www.canada.ca/en/public-health/services/catmat/canadian-recommendations-prevention-treatment-malaria/chapter-6-malaria-diagnosis.html" TargetMode="External" /><Relationship Type="http://schemas.openxmlformats.org/officeDocument/2006/relationships/hyperlink" Id="rId45" Target="https://www.canada.ca/en/public-health/services/catmat/recommendations-use-chikungunya-vaccine.html" TargetMode="External" /><Relationship Type="http://schemas.openxmlformats.org/officeDocument/2006/relationships/hyperlink" Id="rId42" Target="https://www.canada.ca/en/public-health/services/diseases/chikungunya/health-professionals-chikungunya.html" TargetMode="External" /><Relationship Type="http://schemas.openxmlformats.org/officeDocument/2006/relationships/hyperlink" Id="rId36" Target="https://www.canada.ca/en/public-health/services/publications/healthy-living/canadian-immunization-guide-part-4-active-vaccines/page-11-japanese-encephalitis-vaccine.html" TargetMode="External" /><Relationship Type="http://schemas.openxmlformats.org/officeDocument/2006/relationships/hyperlink" Id="rId43" Target="https://www.cdc.gov/chikungunya/hcp/clinical-signs/index.html" TargetMode="External" /><Relationship Type="http://schemas.openxmlformats.org/officeDocument/2006/relationships/hyperlink" Id="rId44" Target="https://www.cdc.gov/chikungunya/symptoms-diagnosis-treatment/index.html" TargetMode="External" /><Relationship Type="http://schemas.openxmlformats.org/officeDocument/2006/relationships/hyperlink" Id="rId41" Target="https://www.cdc.gov/dengue/hcp/clinical-care/index.html" TargetMode="External" /><Relationship Type="http://schemas.openxmlformats.org/officeDocument/2006/relationships/hyperlink" Id="rId30" Target="https://www.cdc.gov/dengue/hcp/clinical-signs/index.html" TargetMode="External" /><Relationship Type="http://schemas.openxmlformats.org/officeDocument/2006/relationships/hyperlink" Id="rId32" Target="https://www.cdc.gov/dengue/treatment/index.html" TargetMode="External" /><Relationship Type="http://schemas.openxmlformats.org/officeDocument/2006/relationships/hyperlink" Id="rId56" Target="https://www.cdc.gov/eastern-equine-encephalitis/hcp/clinical-signs/index.html" TargetMode="External" /><Relationship Type="http://schemas.openxmlformats.org/officeDocument/2006/relationships/hyperlink" Id="rId49" Target="https://www.cdc.gov/japanese-encephalitis/symptoms-diagnosis-treatment/index.html" TargetMode="External" /><Relationship Type="http://schemas.openxmlformats.org/officeDocument/2006/relationships/hyperlink" Id="rId38" Target="https://www.cdc.gov/malaria/hcp/clinical-features/index.html" TargetMode="External" /><Relationship Type="http://schemas.openxmlformats.org/officeDocument/2006/relationships/hyperlink" Id="rId55" Target="https://www.cdc.gov/sle/hcp/clinical-signs/index.html" TargetMode="External" /><Relationship Type="http://schemas.openxmlformats.org/officeDocument/2006/relationships/hyperlink" Id="rId54" Target="https://www.cdc.gov/sle/symptoms-diagnosis-treatment/index.html" TargetMode="External" /><Relationship Type="http://schemas.openxmlformats.org/officeDocument/2006/relationships/hyperlink" Id="rId57" Target="https://www.cdc.gov/wee/about/index.html" TargetMode="External" /><Relationship Type="http://schemas.openxmlformats.org/officeDocument/2006/relationships/hyperlink" Id="rId58" Target="https://www.cdc.gov/wee/hcp/clinical-diagnosis-treatment/index.html" TargetMode="External" /><Relationship Type="http://schemas.openxmlformats.org/officeDocument/2006/relationships/hyperlink" Id="rId59" Target="https://www.cdc.gov/wee/symptoms-diagnosis-treatment/index.html" TargetMode="External" /><Relationship Type="http://schemas.openxmlformats.org/officeDocument/2006/relationships/hyperlink" Id="rId50" Target="https://www.cdc.gov/west-nile-virus/hcp/clinical-signs/index.html" TargetMode="External" /><Relationship Type="http://schemas.openxmlformats.org/officeDocument/2006/relationships/hyperlink" Id="rId52" Target="https://www.cdc.gov/west-nile-virus/symptoms-diagnosis-treatment/index.html" TargetMode="External" /><Relationship Type="http://schemas.openxmlformats.org/officeDocument/2006/relationships/hyperlink" Id="rId72" Target="https://www.cdc.gov/yellow-book/hcp/post-travel-evaluation/post-travel-evaluation-of-the-ill-traveler.html" TargetMode="External" /><Relationship Type="http://schemas.openxmlformats.org/officeDocument/2006/relationships/hyperlink" Id="rId23" Target="https://www.cdc.gov/yellow-book/hcp/travel-associated-infections-diseases/japanese-encephalitis.html" TargetMode="External" /><Relationship Type="http://schemas.openxmlformats.org/officeDocument/2006/relationships/hyperlink" Id="rId22" Target="https://www.cdc.gov/yellow-book/hcp/travel-associated-infections-diseases/malaria.html" TargetMode="External" /><Relationship Type="http://schemas.openxmlformats.org/officeDocument/2006/relationships/hyperlink" Id="rId47" Target="https://www.cdc.gov/zika/czs/index.html" TargetMode="External" /><Relationship Type="http://schemas.openxmlformats.org/officeDocument/2006/relationships/hyperlink" Id="rId31" Target="https://www.cdc.gov/zika/hcp/clinical-pregnant/index.html" TargetMode="External" /><Relationship Type="http://schemas.openxmlformats.org/officeDocument/2006/relationships/hyperlink" Id="rId21" Target="https://www.cdc.gov/zika/hcp/clinical-signs/index.html" TargetMode="External" /><Relationship Type="http://schemas.openxmlformats.org/officeDocument/2006/relationships/hyperlink" Id="rId77" Target="https://www.ecdc.europa.eu/en/dengue-monthly" TargetMode="External" /><Relationship Type="http://schemas.openxmlformats.org/officeDocument/2006/relationships/hyperlink" Id="rId66" Target="https://www.health.nsw.gov.au/Infectious/factsheets/Pages/ross-river-fever.aspx" TargetMode="External" /><Relationship Type="http://schemas.openxmlformats.org/officeDocument/2006/relationships/hyperlink" Id="rId62" Target="https://www.health.vic.gov.au/infectious-diseases/murray-valley-encephalitis" TargetMode="External" /><Relationship Type="http://schemas.openxmlformats.org/officeDocument/2006/relationships/hyperlink" Id="rId65" Target="https://www.health.wa.gov.au/Media-releases/2025/March/WA-Health-confirms-third-mosquito-borne-virus-case-in-northern-WA" TargetMode="External" /><Relationship Type="http://schemas.openxmlformats.org/officeDocument/2006/relationships/hyperlink" Id="rId67" Target="https://www.healthdirect.gov.au/ross-river-virus" TargetMode="External" /><Relationship Type="http://schemas.openxmlformats.org/officeDocument/2006/relationships/hyperlink" Id="rId64" Target="https://www.healthywa.wa.gov.au/Articles/J_M/Murray-Valley-encephalitis-and-Kunjin-viruses" TargetMode="External" /><Relationship Type="http://schemas.openxmlformats.org/officeDocument/2006/relationships/hyperlink" Id="rId53" Target="https://www.ottawapublichealth.ca/en/professionals-and-partners/hcp-west-nile-virus.aspx" TargetMode="External" /><Relationship Type="http://schemas.openxmlformats.org/officeDocument/2006/relationships/hyperlink" Id="rId37" Target="https://www.publichealthontario.ca/en/Diseases-and-Conditions/Infectious-Diseases/Vector-Borne-Zoonotic-Diseases/Malaria" TargetMode="External" /><Relationship Type="http://schemas.openxmlformats.org/officeDocument/2006/relationships/hyperlink" Id="rId61" Target="https://www.who.int/docs/default-source/documents/emergencies/rift-valley-fever/rvf-presentation.pdf?sfvrsn=9ab8f0d3_4" TargetMode="External" /><Relationship Type="http://schemas.openxmlformats.org/officeDocument/2006/relationships/hyperlink" Id="rId48" Target="https://www.who.int/docs/default-source/documents/emergencies/travel-advice/extension-to-life-on-yellow-fever-vaccination-en.pdf" TargetMode="External" /><Relationship Type="http://schemas.openxmlformats.org/officeDocument/2006/relationships/hyperlink" Id="rId28" Target="https://www.who.int/health-topics/malaria" TargetMode="External" /><Relationship Type="http://schemas.openxmlformats.org/officeDocument/2006/relationships/hyperlink" Id="rId40" Target="https://www.who.int/news-room/fact-sheets/detail/dengue-and-severe-dengue" TargetMode="External" /><Relationship Type="http://schemas.openxmlformats.org/officeDocument/2006/relationships/hyperlink" Id="rId26" Target="https://www.who.int/news-room/fact-sheets/detail/malaria" TargetMode="External" /><Relationship Type="http://schemas.openxmlformats.org/officeDocument/2006/relationships/hyperlink" Id="rId60" Target="https://www.who.int/news-room/fact-sheets/detail/rift-valley-fever" TargetMode="External" /><Relationship Type="http://schemas.openxmlformats.org/officeDocument/2006/relationships/hyperlink" Id="rId51" Target="https://www.who.int/news-room/fact-sheets/detail/west-nile-virus" TargetMode="External" /><Relationship Type="http://schemas.openxmlformats.org/officeDocument/2006/relationships/hyperlink" Id="rId25" Target="https://www.who.int/news-room/fact-sheets/detail/yellow-fever" TargetMode="External" /><Relationship Type="http://schemas.openxmlformats.org/officeDocument/2006/relationships/hyperlink" Id="rId70" Target="https://www.who.int/travel-advice" TargetMode="External" /><Relationship Type="http://schemas.openxmlformats.org/officeDocument/2006/relationships/hyperlink" Id="rId27" Target="https://wwwnc.cdc.gov/travel/notices" TargetMode="External" /><Relationship Type="http://schemas.openxmlformats.org/officeDocument/2006/relationships/hyperlink" Id="rId46" Target="https://wwwnc.cdc.gov/travel/page/zika-inform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2026-04-04T20:18:58Z</dcterms:created>
  <dcterms:modified xsi:type="dcterms:W3CDTF">2026-04-04T20:18:58Z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